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390DAE6B" w:rsidR="009423EF" w:rsidRPr="00B305A7" w:rsidRDefault="003F1804">
      <w:pPr>
        <w:rPr>
          <w:rFonts w:ascii="Arial" w:eastAsia="Arial" w:hAnsi="Arial" w:cs="Arial"/>
          <w:b/>
          <w:color w:val="1A70B8"/>
          <w:sz w:val="44"/>
          <w:szCs w:val="44"/>
        </w:rPr>
      </w:pPr>
      <w:r w:rsidRPr="00B305A7">
        <w:rPr>
          <w:rFonts w:ascii="Arial" w:eastAsia="Arial" w:hAnsi="Arial" w:cs="Arial"/>
          <w:b/>
          <w:color w:val="1A70B8"/>
          <w:sz w:val="44"/>
          <w:szCs w:val="44"/>
        </w:rPr>
        <w:t>Education and</w:t>
      </w:r>
      <w:r w:rsidR="00285EEC" w:rsidRPr="00B305A7">
        <w:rPr>
          <w:rFonts w:ascii="Arial" w:eastAsia="Arial" w:hAnsi="Arial" w:cs="Arial"/>
          <w:b/>
          <w:color w:val="1A70B8"/>
          <w:sz w:val="44"/>
          <w:szCs w:val="44"/>
        </w:rPr>
        <w:t xml:space="preserve"> </w:t>
      </w:r>
      <w:r w:rsidR="00B305A7">
        <w:rPr>
          <w:rFonts w:ascii="Arial" w:eastAsia="Arial" w:hAnsi="Arial" w:cs="Arial"/>
          <w:b/>
          <w:color w:val="1A70B8"/>
          <w:sz w:val="44"/>
          <w:szCs w:val="44"/>
        </w:rPr>
        <w:t>Equity</w:t>
      </w:r>
      <w:r w:rsidR="00CE1AEA" w:rsidRPr="00B305A7">
        <w:rPr>
          <w:rFonts w:ascii="Arial" w:eastAsia="Arial" w:hAnsi="Arial" w:cs="Arial"/>
          <w:b/>
          <w:color w:val="1A70B8"/>
          <w:sz w:val="44"/>
          <w:szCs w:val="44"/>
        </w:rPr>
        <w:t xml:space="preserve"> </w:t>
      </w:r>
    </w:p>
    <w:p w14:paraId="00000003" w14:textId="392CA98D" w:rsidR="009423EF" w:rsidRDefault="009423EF">
      <w:pPr>
        <w:rPr>
          <w:rFonts w:ascii="Arial" w:eastAsia="Arial" w:hAnsi="Arial" w:cs="Arial"/>
          <w:b/>
          <w:sz w:val="20"/>
          <w:szCs w:val="20"/>
        </w:rPr>
      </w:pPr>
    </w:p>
    <w:p w14:paraId="017153A1" w14:textId="77777777" w:rsidR="00DE0A94" w:rsidRPr="003F1804" w:rsidRDefault="00DE0A94">
      <w:pPr>
        <w:rPr>
          <w:rFonts w:ascii="Arial" w:eastAsia="Arial" w:hAnsi="Arial" w:cs="Arial"/>
          <w:b/>
          <w:sz w:val="20"/>
          <w:szCs w:val="20"/>
        </w:rPr>
      </w:pPr>
    </w:p>
    <w:p w14:paraId="6529D69D" w14:textId="70842F27" w:rsidR="00FA7D3F" w:rsidRPr="00B305A7" w:rsidRDefault="00CE1AEA">
      <w:pPr>
        <w:rPr>
          <w:rFonts w:ascii="Arial" w:eastAsia="Arial" w:hAnsi="Arial" w:cs="Arial"/>
          <w:b/>
          <w:color w:val="1A70B8"/>
          <w:sz w:val="28"/>
          <w:szCs w:val="28"/>
        </w:rPr>
      </w:pPr>
      <w:r w:rsidRPr="00B305A7">
        <w:rPr>
          <w:rFonts w:ascii="Arial" w:eastAsia="Arial" w:hAnsi="Arial" w:cs="Arial"/>
          <w:b/>
          <w:color w:val="1A70B8"/>
          <w:sz w:val="28"/>
          <w:szCs w:val="28"/>
        </w:rPr>
        <w:t>Message Framing</w:t>
      </w:r>
    </w:p>
    <w:p w14:paraId="729FCFBB" w14:textId="77777777" w:rsidR="00B305A7" w:rsidRPr="00B305A7" w:rsidRDefault="00B305A7" w:rsidP="00B305A7">
      <w:pPr>
        <w:spacing w:before="240" w:after="240"/>
        <w:rPr>
          <w:rFonts w:ascii="Arial" w:eastAsia="Arial" w:hAnsi="Arial" w:cs="Arial"/>
          <w:b/>
          <w:sz w:val="28"/>
          <w:szCs w:val="28"/>
        </w:rPr>
      </w:pPr>
      <w:r w:rsidRPr="00B305A7">
        <w:rPr>
          <w:rFonts w:ascii="Arial" w:eastAsia="Arial" w:hAnsi="Arial" w:cs="Arial"/>
          <w:b/>
          <w:color w:val="000000"/>
          <w:sz w:val="28"/>
          <w:szCs w:val="28"/>
        </w:rPr>
        <w:t xml:space="preserve">An equitable education system is the foundation for a peaceful, productive and </w:t>
      </w:r>
      <w:r w:rsidRPr="00B305A7">
        <w:rPr>
          <w:rFonts w:ascii="Arial" w:eastAsia="Arial" w:hAnsi="Arial" w:cs="Arial"/>
          <w:b/>
          <w:sz w:val="28"/>
          <w:szCs w:val="28"/>
        </w:rPr>
        <w:t>fair</w:t>
      </w:r>
      <w:r w:rsidRPr="00B305A7">
        <w:rPr>
          <w:rFonts w:ascii="Arial" w:eastAsia="Arial" w:hAnsi="Arial" w:cs="Arial"/>
          <w:b/>
          <w:color w:val="000000"/>
          <w:sz w:val="28"/>
          <w:szCs w:val="28"/>
        </w:rPr>
        <w:t xml:space="preserve"> society.</w:t>
      </w:r>
      <w:r w:rsidRPr="00B305A7">
        <w:rPr>
          <w:rFonts w:ascii="Arial" w:eastAsia="Arial" w:hAnsi="Arial" w:cs="Arial"/>
          <w:color w:val="000000"/>
          <w:sz w:val="28"/>
          <w:szCs w:val="28"/>
        </w:rPr>
        <w:t xml:space="preserve"> </w:t>
      </w:r>
      <w:proofErr w:type="spellStart"/>
      <w:r w:rsidRPr="00B305A7">
        <w:rPr>
          <w:rFonts w:ascii="Arial" w:eastAsia="Arial" w:hAnsi="Arial" w:cs="Arial"/>
          <w:sz w:val="28"/>
          <w:szCs w:val="28"/>
        </w:rPr>
        <w:t>P</w:t>
      </w:r>
      <w:r w:rsidRPr="00B305A7">
        <w:rPr>
          <w:rFonts w:ascii="Arial" w:eastAsia="Arial" w:hAnsi="Arial" w:cs="Arial"/>
          <w:color w:val="000000"/>
          <w:sz w:val="28"/>
          <w:szCs w:val="28"/>
        </w:rPr>
        <w:t>rioriti</w:t>
      </w:r>
      <w:r w:rsidRPr="00B305A7">
        <w:rPr>
          <w:rFonts w:ascii="Arial" w:eastAsia="Arial" w:hAnsi="Arial" w:cs="Arial"/>
          <w:sz w:val="28"/>
          <w:szCs w:val="28"/>
        </w:rPr>
        <w:t>s</w:t>
      </w:r>
      <w:r w:rsidRPr="00B305A7">
        <w:rPr>
          <w:rFonts w:ascii="Arial" w:eastAsia="Arial" w:hAnsi="Arial" w:cs="Arial"/>
          <w:color w:val="000000"/>
          <w:sz w:val="28"/>
          <w:szCs w:val="28"/>
        </w:rPr>
        <w:t>ing</w:t>
      </w:r>
      <w:proofErr w:type="spellEnd"/>
      <w:r w:rsidRPr="00B305A7">
        <w:rPr>
          <w:rFonts w:ascii="Arial" w:eastAsia="Arial" w:hAnsi="Arial" w:cs="Arial"/>
          <w:color w:val="000000"/>
          <w:sz w:val="28"/>
          <w:szCs w:val="28"/>
        </w:rPr>
        <w:t xml:space="preserve"> investment in education for those most often excluded — th</w:t>
      </w:r>
      <w:r w:rsidRPr="00B305A7">
        <w:rPr>
          <w:rFonts w:ascii="Arial" w:eastAsia="Arial" w:hAnsi="Arial" w:cs="Arial"/>
          <w:sz w:val="28"/>
          <w:szCs w:val="28"/>
        </w:rPr>
        <w:t>ose who are</w:t>
      </w:r>
      <w:r w:rsidRPr="00B305A7">
        <w:rPr>
          <w:rFonts w:ascii="Arial" w:eastAsia="Arial" w:hAnsi="Arial" w:cs="Arial"/>
          <w:color w:val="000000"/>
          <w:sz w:val="28"/>
          <w:szCs w:val="28"/>
        </w:rPr>
        <w:t xml:space="preserve"> poor, disabled, </w:t>
      </w:r>
      <w:r w:rsidRPr="00B305A7">
        <w:rPr>
          <w:rFonts w:ascii="Arial" w:eastAsia="Arial" w:hAnsi="Arial" w:cs="Arial"/>
          <w:sz w:val="28"/>
          <w:szCs w:val="28"/>
        </w:rPr>
        <w:t>female</w:t>
      </w:r>
      <w:r w:rsidRPr="00B305A7">
        <w:rPr>
          <w:rFonts w:ascii="Arial" w:eastAsia="Arial" w:hAnsi="Arial" w:cs="Arial"/>
          <w:color w:val="000000"/>
          <w:sz w:val="28"/>
          <w:szCs w:val="28"/>
        </w:rPr>
        <w:t>, rural, nomadic, from minority ethnic groups, and living in conflict — provides the greatest social and economic returns. </w:t>
      </w:r>
    </w:p>
    <w:p w14:paraId="187A7933" w14:textId="77777777" w:rsidR="0042053E" w:rsidRPr="003F1804" w:rsidRDefault="0042053E">
      <w:pPr>
        <w:rPr>
          <w:rFonts w:ascii="Arial" w:eastAsia="Arial" w:hAnsi="Arial" w:cs="Arial"/>
          <w:b/>
          <w:sz w:val="20"/>
          <w:szCs w:val="20"/>
        </w:rPr>
      </w:pPr>
    </w:p>
    <w:p w14:paraId="00000011" w14:textId="6F11AD8F" w:rsidR="009423EF" w:rsidRPr="00B305A7" w:rsidRDefault="00CE1AEA">
      <w:pPr>
        <w:rPr>
          <w:rFonts w:ascii="Arial" w:eastAsia="Arial" w:hAnsi="Arial" w:cs="Arial"/>
          <w:b/>
          <w:color w:val="1A70B8"/>
        </w:rPr>
      </w:pPr>
      <w:r w:rsidRPr="00B305A7">
        <w:rPr>
          <w:rFonts w:ascii="Arial" w:eastAsia="Arial" w:hAnsi="Arial" w:cs="Arial"/>
          <w:b/>
          <w:color w:val="1A70B8"/>
        </w:rPr>
        <w:t xml:space="preserve">Key </w:t>
      </w:r>
      <w:r w:rsidR="0042053E" w:rsidRPr="00B305A7">
        <w:rPr>
          <w:rFonts w:ascii="Arial" w:eastAsia="Arial" w:hAnsi="Arial" w:cs="Arial"/>
          <w:b/>
          <w:color w:val="1A70B8"/>
        </w:rPr>
        <w:t>challenges</w:t>
      </w:r>
    </w:p>
    <w:p w14:paraId="143C3240" w14:textId="77777777" w:rsidR="00B305A7" w:rsidRPr="00FA7D3F" w:rsidRDefault="00B305A7">
      <w:pPr>
        <w:rPr>
          <w:rFonts w:ascii="Arial" w:eastAsia="Arial" w:hAnsi="Arial" w:cs="Arial"/>
          <w:b/>
          <w:color w:val="F39100"/>
        </w:rPr>
      </w:pPr>
    </w:p>
    <w:p w14:paraId="09B92AC5" w14:textId="77777777" w:rsidR="00B305A7" w:rsidRPr="00B45049" w:rsidRDefault="00B305A7" w:rsidP="00B305A7">
      <w:pPr>
        <w:numPr>
          <w:ilvl w:val="0"/>
          <w:numId w:val="4"/>
        </w:numPr>
        <w:spacing w:after="120"/>
        <w:rPr>
          <w:rFonts w:ascii="Arial" w:eastAsia="Arial" w:hAnsi="Arial" w:cs="Arial"/>
          <w:b/>
          <w:sz w:val="20"/>
          <w:szCs w:val="20"/>
        </w:rPr>
      </w:pPr>
      <w:r w:rsidRPr="00B45049">
        <w:rPr>
          <w:rFonts w:ascii="Arial" w:eastAsia="Arial" w:hAnsi="Arial" w:cs="Arial"/>
          <w:b/>
          <w:sz w:val="20"/>
          <w:szCs w:val="20"/>
        </w:rPr>
        <w:t xml:space="preserve">The benefits of education for all will not be fully </w:t>
      </w:r>
      <w:proofErr w:type="spellStart"/>
      <w:r w:rsidRPr="00B45049">
        <w:rPr>
          <w:rFonts w:ascii="Arial" w:eastAsia="Arial" w:hAnsi="Arial" w:cs="Arial"/>
          <w:b/>
          <w:sz w:val="20"/>
          <w:szCs w:val="20"/>
        </w:rPr>
        <w:t>realised</w:t>
      </w:r>
      <w:proofErr w:type="spellEnd"/>
      <w:r w:rsidRPr="00B45049">
        <w:rPr>
          <w:rFonts w:ascii="Arial" w:eastAsia="Arial" w:hAnsi="Arial" w:cs="Arial"/>
          <w:b/>
          <w:sz w:val="20"/>
          <w:szCs w:val="20"/>
        </w:rPr>
        <w:t xml:space="preserve"> without quality education for all.</w:t>
      </w:r>
      <w:r w:rsidRPr="00B45049">
        <w:rPr>
          <w:rFonts w:ascii="Arial" w:eastAsia="Arial" w:hAnsi="Arial" w:cs="Arial"/>
          <w:sz w:val="20"/>
          <w:szCs w:val="20"/>
        </w:rPr>
        <w:t xml:space="preserve"> Great inequities exist in learning and the quality of education provided — even for children with a primary education — with learning outcomes often the lowest for children from disadvantaged backgrounds (</w:t>
      </w:r>
      <w:hyperlink r:id="rId8">
        <w:r w:rsidRPr="00B45049">
          <w:rPr>
            <w:rFonts w:ascii="Arial" w:eastAsia="Arial" w:hAnsi="Arial" w:cs="Arial"/>
            <w:color w:val="1155CC"/>
            <w:sz w:val="20"/>
            <w:szCs w:val="20"/>
            <w:u w:val="single"/>
          </w:rPr>
          <w:t>UNICEF</w:t>
        </w:r>
      </w:hyperlink>
      <w:r w:rsidRPr="00B45049">
        <w:rPr>
          <w:rFonts w:ascii="Arial" w:eastAsia="Arial" w:hAnsi="Arial" w:cs="Arial"/>
          <w:sz w:val="20"/>
          <w:szCs w:val="20"/>
        </w:rPr>
        <w:t>, 2015). In low and middle-income countries, only 18 of the poorest youth complete secondary school for every 100 of the richest youth. In at least 20 countries, mostly in sub-Saharan Africa, hardly any poor rural young women complete secondary school (</w:t>
      </w:r>
      <w:hyperlink r:id="rId9">
        <w:r w:rsidRPr="00B45049">
          <w:rPr>
            <w:rFonts w:ascii="Arial" w:eastAsia="Arial" w:hAnsi="Arial" w:cs="Arial"/>
            <w:color w:val="1155CC"/>
            <w:sz w:val="20"/>
            <w:szCs w:val="20"/>
            <w:u w:val="single"/>
          </w:rPr>
          <w:t>GEM</w:t>
        </w:r>
      </w:hyperlink>
      <w:r w:rsidRPr="00B45049">
        <w:rPr>
          <w:rFonts w:ascii="Arial" w:eastAsia="Arial" w:hAnsi="Arial" w:cs="Arial"/>
          <w:sz w:val="20"/>
          <w:szCs w:val="20"/>
        </w:rPr>
        <w:t>, 2020).</w:t>
      </w:r>
    </w:p>
    <w:p w14:paraId="1FAA7965" w14:textId="77777777" w:rsidR="00B305A7" w:rsidRPr="00B45049" w:rsidRDefault="00B305A7" w:rsidP="00B305A7">
      <w:pPr>
        <w:numPr>
          <w:ilvl w:val="0"/>
          <w:numId w:val="4"/>
        </w:numPr>
        <w:spacing w:after="120"/>
        <w:rPr>
          <w:rFonts w:ascii="Arial" w:eastAsia="Arial" w:hAnsi="Arial" w:cs="Arial"/>
          <w:sz w:val="20"/>
          <w:szCs w:val="20"/>
        </w:rPr>
      </w:pPr>
      <w:r w:rsidRPr="00B45049">
        <w:rPr>
          <w:rFonts w:ascii="Arial" w:eastAsia="Arial" w:hAnsi="Arial" w:cs="Arial"/>
          <w:b/>
          <w:sz w:val="20"/>
          <w:szCs w:val="20"/>
        </w:rPr>
        <w:t>Providing equitable education opportunities starts with more equitable education financing.</w:t>
      </w:r>
      <w:r w:rsidRPr="00B45049">
        <w:rPr>
          <w:rFonts w:ascii="Arial" w:eastAsia="Arial" w:hAnsi="Arial" w:cs="Arial"/>
          <w:sz w:val="20"/>
          <w:szCs w:val="20"/>
        </w:rPr>
        <w:t xml:space="preserve"> Governments often spend the least on the children most often excluded from education. In Malawi, the most educated 10% consume 130 times the amount of public education funds than the bottom 10% (</w:t>
      </w:r>
      <w:hyperlink r:id="rId10">
        <w:r w:rsidRPr="00B45049">
          <w:rPr>
            <w:rFonts w:ascii="Arial" w:eastAsia="Arial" w:hAnsi="Arial" w:cs="Arial"/>
            <w:color w:val="1155CC"/>
            <w:sz w:val="20"/>
            <w:szCs w:val="20"/>
            <w:u w:val="single"/>
          </w:rPr>
          <w:t>UNICEF</w:t>
        </w:r>
      </w:hyperlink>
      <w:r w:rsidRPr="00B45049">
        <w:rPr>
          <w:rFonts w:ascii="Arial" w:eastAsia="Arial" w:hAnsi="Arial" w:cs="Arial"/>
          <w:sz w:val="20"/>
          <w:szCs w:val="20"/>
        </w:rPr>
        <w:t>, 2015).</w:t>
      </w:r>
    </w:p>
    <w:p w14:paraId="0000001A" w14:textId="072B3FF7" w:rsidR="009423EF" w:rsidRPr="00B305A7" w:rsidRDefault="00B305A7" w:rsidP="00B305A7">
      <w:pPr>
        <w:numPr>
          <w:ilvl w:val="0"/>
          <w:numId w:val="4"/>
        </w:numPr>
        <w:spacing w:after="120"/>
        <w:rPr>
          <w:rFonts w:ascii="Arial" w:eastAsia="Arial" w:hAnsi="Arial" w:cs="Arial"/>
          <w:b/>
          <w:sz w:val="20"/>
          <w:szCs w:val="20"/>
        </w:rPr>
      </w:pPr>
      <w:r w:rsidRPr="00B45049">
        <w:rPr>
          <w:rFonts w:ascii="Arial" w:eastAsia="Arial" w:hAnsi="Arial" w:cs="Arial"/>
          <w:b/>
          <w:sz w:val="20"/>
          <w:szCs w:val="20"/>
        </w:rPr>
        <w:t xml:space="preserve">Progressive education policies are needed to proactively address systemic learning inequality. </w:t>
      </w:r>
      <w:r w:rsidRPr="00B45049">
        <w:rPr>
          <w:rFonts w:ascii="Arial" w:eastAsia="Arial" w:hAnsi="Arial" w:cs="Arial"/>
          <w:sz w:val="20"/>
          <w:szCs w:val="20"/>
        </w:rPr>
        <w:t>Across 30 countries, children from the poorest quintile of households were four times more likely to be out of school compared with those from the wealthiest households (40% versus 10%) (</w:t>
      </w:r>
      <w:hyperlink r:id="rId11">
        <w:r w:rsidRPr="00B45049">
          <w:rPr>
            <w:rFonts w:ascii="Arial" w:eastAsia="Arial" w:hAnsi="Arial" w:cs="Arial"/>
            <w:color w:val="1155CC"/>
            <w:sz w:val="20"/>
            <w:szCs w:val="20"/>
            <w:u w:val="single"/>
          </w:rPr>
          <w:t>UIS</w:t>
        </w:r>
      </w:hyperlink>
      <w:r w:rsidRPr="00B45049">
        <w:rPr>
          <w:rFonts w:ascii="Arial" w:eastAsia="Arial" w:hAnsi="Arial" w:cs="Arial"/>
          <w:sz w:val="20"/>
          <w:szCs w:val="20"/>
        </w:rPr>
        <w:t>, 2012).</w:t>
      </w:r>
    </w:p>
    <w:p w14:paraId="4EC26AD7" w14:textId="77777777" w:rsidR="0042053E" w:rsidRPr="003F1804" w:rsidRDefault="0042053E">
      <w:pPr>
        <w:rPr>
          <w:rFonts w:ascii="Arial" w:eastAsia="Arial" w:hAnsi="Arial" w:cs="Arial"/>
          <w:sz w:val="20"/>
          <w:szCs w:val="20"/>
        </w:rPr>
      </w:pPr>
    </w:p>
    <w:p w14:paraId="0000001C" w14:textId="42835B28" w:rsidR="009423EF" w:rsidRPr="00B305A7" w:rsidRDefault="0042053E" w:rsidP="00B305A7">
      <w:pPr>
        <w:rPr>
          <w:rFonts w:ascii="Arial" w:eastAsia="Arial" w:hAnsi="Arial" w:cs="Arial"/>
          <w:b/>
          <w:color w:val="1A70B8"/>
        </w:rPr>
      </w:pPr>
      <w:r w:rsidRPr="00B305A7">
        <w:rPr>
          <w:rFonts w:ascii="Arial" w:eastAsia="Arial" w:hAnsi="Arial" w:cs="Arial"/>
          <w:b/>
          <w:color w:val="1A70B8"/>
        </w:rPr>
        <w:t>Making the case</w:t>
      </w:r>
    </w:p>
    <w:p w14:paraId="7A836D81" w14:textId="77777777" w:rsidR="00B305A7" w:rsidRPr="00B45049" w:rsidRDefault="00B305A7" w:rsidP="00B305A7">
      <w:pPr>
        <w:numPr>
          <w:ilvl w:val="0"/>
          <w:numId w:val="4"/>
        </w:numPr>
        <w:spacing w:before="240"/>
        <w:rPr>
          <w:rFonts w:ascii="Arial" w:eastAsia="Arial" w:hAnsi="Arial" w:cs="Arial"/>
          <w:b/>
          <w:color w:val="000000"/>
          <w:sz w:val="20"/>
          <w:szCs w:val="20"/>
        </w:rPr>
      </w:pPr>
      <w:proofErr w:type="spellStart"/>
      <w:r w:rsidRPr="00B45049">
        <w:rPr>
          <w:rFonts w:ascii="Arial" w:eastAsia="Arial" w:hAnsi="Arial" w:cs="Arial"/>
          <w:b/>
          <w:color w:val="000000"/>
          <w:sz w:val="20"/>
          <w:szCs w:val="20"/>
        </w:rPr>
        <w:t>Prioriti</w:t>
      </w:r>
      <w:r w:rsidRPr="00B45049">
        <w:rPr>
          <w:rFonts w:ascii="Arial" w:eastAsia="Arial" w:hAnsi="Arial" w:cs="Arial"/>
          <w:b/>
          <w:sz w:val="20"/>
          <w:szCs w:val="20"/>
        </w:rPr>
        <w:t>s</w:t>
      </w:r>
      <w:r w:rsidRPr="00B45049">
        <w:rPr>
          <w:rFonts w:ascii="Arial" w:eastAsia="Arial" w:hAnsi="Arial" w:cs="Arial"/>
          <w:b/>
          <w:color w:val="000000"/>
          <w:sz w:val="20"/>
          <w:szCs w:val="20"/>
        </w:rPr>
        <w:t>ing</w:t>
      </w:r>
      <w:proofErr w:type="spellEnd"/>
      <w:r w:rsidRPr="00B45049">
        <w:rPr>
          <w:rFonts w:ascii="Arial" w:eastAsia="Arial" w:hAnsi="Arial" w:cs="Arial"/>
          <w:b/>
          <w:color w:val="000000"/>
          <w:sz w:val="20"/>
          <w:szCs w:val="20"/>
        </w:rPr>
        <w:t xml:space="preserve"> education for the most </w:t>
      </w:r>
      <w:proofErr w:type="spellStart"/>
      <w:r w:rsidRPr="00B45049">
        <w:rPr>
          <w:rFonts w:ascii="Arial" w:eastAsia="Arial" w:hAnsi="Arial" w:cs="Arial"/>
          <w:b/>
          <w:color w:val="000000"/>
          <w:sz w:val="20"/>
          <w:szCs w:val="20"/>
        </w:rPr>
        <w:t>marginalised</w:t>
      </w:r>
      <w:proofErr w:type="spellEnd"/>
      <w:r w:rsidRPr="00B45049">
        <w:rPr>
          <w:rFonts w:ascii="Arial" w:eastAsia="Arial" w:hAnsi="Arial" w:cs="Arial"/>
          <w:b/>
          <w:color w:val="000000"/>
          <w:sz w:val="20"/>
          <w:szCs w:val="20"/>
        </w:rPr>
        <w:t xml:space="preserve"> provides the highest returns.</w:t>
      </w:r>
      <w:r w:rsidRPr="00B45049">
        <w:rPr>
          <w:rFonts w:ascii="Arial" w:eastAsia="Arial" w:hAnsi="Arial" w:cs="Arial"/>
          <w:color w:val="000000"/>
          <w:sz w:val="20"/>
          <w:szCs w:val="20"/>
        </w:rPr>
        <w:t xml:space="preserve"> Financing primary and early childhood education, and the education of the poorest, the disabled, and those with social disadvantages, is the quickest route to achieving equity, with the greatest potential social dividends (</w:t>
      </w:r>
      <w:hyperlink r:id="rId12">
        <w:r w:rsidRPr="00B45049">
          <w:rPr>
            <w:rFonts w:ascii="Arial" w:eastAsia="Arial" w:hAnsi="Arial" w:cs="Arial"/>
            <w:color w:val="1155CC"/>
            <w:sz w:val="20"/>
            <w:szCs w:val="20"/>
            <w:u w:val="single"/>
          </w:rPr>
          <w:t>Education Commission</w:t>
        </w:r>
      </w:hyperlink>
      <w:r w:rsidRPr="00B45049">
        <w:rPr>
          <w:rFonts w:ascii="Arial" w:eastAsia="Arial" w:hAnsi="Arial" w:cs="Arial"/>
          <w:color w:val="000000"/>
          <w:sz w:val="20"/>
          <w:szCs w:val="20"/>
        </w:rPr>
        <w:t>, 201</w:t>
      </w:r>
      <w:r w:rsidRPr="00B45049">
        <w:rPr>
          <w:rFonts w:ascii="Arial" w:eastAsia="Arial" w:hAnsi="Arial" w:cs="Arial"/>
          <w:sz w:val="20"/>
          <w:szCs w:val="20"/>
        </w:rPr>
        <w:t>6</w:t>
      </w:r>
      <w:r w:rsidRPr="00B45049">
        <w:rPr>
          <w:rFonts w:ascii="Arial" w:eastAsia="Arial" w:hAnsi="Arial" w:cs="Arial"/>
          <w:color w:val="000000"/>
          <w:sz w:val="20"/>
          <w:szCs w:val="20"/>
        </w:rPr>
        <w:t>). </w:t>
      </w:r>
      <w:r w:rsidRPr="00B45049">
        <w:rPr>
          <w:rFonts w:ascii="Arial" w:eastAsia="Arial" w:hAnsi="Arial" w:cs="Arial"/>
          <w:color w:val="000000"/>
          <w:sz w:val="20"/>
          <w:szCs w:val="20"/>
        </w:rPr>
        <w:br/>
      </w:r>
    </w:p>
    <w:p w14:paraId="1F0CD5DE" w14:textId="77777777" w:rsidR="00B305A7" w:rsidRPr="00B45049" w:rsidRDefault="00B305A7" w:rsidP="00B305A7">
      <w:pPr>
        <w:numPr>
          <w:ilvl w:val="0"/>
          <w:numId w:val="4"/>
        </w:numPr>
        <w:rPr>
          <w:rFonts w:ascii="Arial" w:eastAsia="Arial" w:hAnsi="Arial" w:cs="Arial"/>
          <w:color w:val="000000"/>
          <w:sz w:val="20"/>
          <w:szCs w:val="20"/>
        </w:rPr>
      </w:pPr>
      <w:r w:rsidRPr="00B45049">
        <w:rPr>
          <w:rFonts w:ascii="Arial" w:eastAsia="Arial" w:hAnsi="Arial" w:cs="Arial"/>
          <w:b/>
          <w:color w:val="000000"/>
          <w:sz w:val="20"/>
          <w:szCs w:val="20"/>
        </w:rPr>
        <w:t xml:space="preserve">Investments in early childhood education </w:t>
      </w:r>
      <w:r w:rsidRPr="00B45049">
        <w:rPr>
          <w:rFonts w:ascii="Arial" w:eastAsia="Arial" w:hAnsi="Arial" w:cs="Arial"/>
          <w:b/>
          <w:sz w:val="20"/>
          <w:szCs w:val="20"/>
        </w:rPr>
        <w:t xml:space="preserve">promote </w:t>
      </w:r>
      <w:r w:rsidRPr="00B45049">
        <w:rPr>
          <w:rFonts w:ascii="Arial" w:eastAsia="Arial" w:hAnsi="Arial" w:cs="Arial"/>
          <w:b/>
          <w:color w:val="000000"/>
          <w:sz w:val="20"/>
          <w:szCs w:val="20"/>
        </w:rPr>
        <w:t>equity.</w:t>
      </w:r>
      <w:r w:rsidRPr="00B45049">
        <w:rPr>
          <w:rFonts w:ascii="Arial" w:eastAsia="Arial" w:hAnsi="Arial" w:cs="Arial"/>
          <w:color w:val="000000"/>
          <w:sz w:val="20"/>
          <w:szCs w:val="20"/>
        </w:rPr>
        <w:t xml:space="preserve"> Creating a level playing field from the beginning improves the chances for a fair start in life, reaping benefits to nutrition and health, cognitive development, and school achievement (</w:t>
      </w:r>
      <w:hyperlink r:id="rId13">
        <w:r w:rsidRPr="00B45049">
          <w:rPr>
            <w:rFonts w:ascii="Arial" w:eastAsia="Arial" w:hAnsi="Arial" w:cs="Arial"/>
            <w:color w:val="1155CC"/>
            <w:sz w:val="20"/>
            <w:szCs w:val="20"/>
            <w:u w:val="single"/>
          </w:rPr>
          <w:t>GBC-Education</w:t>
        </w:r>
      </w:hyperlink>
      <w:r w:rsidRPr="00B45049">
        <w:rPr>
          <w:rFonts w:ascii="Arial" w:eastAsia="Arial" w:hAnsi="Arial" w:cs="Arial"/>
          <w:color w:val="000000"/>
          <w:sz w:val="20"/>
          <w:szCs w:val="20"/>
        </w:rPr>
        <w:t xml:space="preserve">, 2018; </w:t>
      </w:r>
      <w:hyperlink r:id="rId14">
        <w:r w:rsidRPr="00B45049">
          <w:rPr>
            <w:rFonts w:ascii="Arial" w:eastAsia="Arial" w:hAnsi="Arial" w:cs="Arial"/>
            <w:color w:val="1155CC"/>
            <w:sz w:val="20"/>
            <w:szCs w:val="20"/>
            <w:u w:val="single"/>
          </w:rPr>
          <w:t>Black &amp; Dewey</w:t>
        </w:r>
      </w:hyperlink>
      <w:r w:rsidRPr="00B45049">
        <w:rPr>
          <w:rFonts w:ascii="Arial" w:eastAsia="Arial" w:hAnsi="Arial" w:cs="Arial"/>
          <w:color w:val="000000"/>
          <w:sz w:val="20"/>
          <w:szCs w:val="20"/>
        </w:rPr>
        <w:t xml:space="preserve">, 2014; </w:t>
      </w:r>
      <w:hyperlink r:id="rId15">
        <w:proofErr w:type="spellStart"/>
        <w:r w:rsidRPr="00B45049">
          <w:rPr>
            <w:rFonts w:ascii="Arial" w:eastAsia="Arial" w:hAnsi="Arial" w:cs="Arial"/>
            <w:color w:val="1155CC"/>
            <w:sz w:val="20"/>
            <w:szCs w:val="20"/>
            <w:u w:val="single"/>
          </w:rPr>
          <w:t>Nonoyama</w:t>
        </w:r>
        <w:proofErr w:type="spellEnd"/>
        <w:r w:rsidRPr="00B45049">
          <w:rPr>
            <w:rFonts w:ascii="Arial" w:eastAsia="Arial" w:hAnsi="Arial" w:cs="Arial"/>
            <w:color w:val="1155CC"/>
            <w:sz w:val="20"/>
            <w:szCs w:val="20"/>
            <w:u w:val="single"/>
          </w:rPr>
          <w:t>-Tarumi et al.</w:t>
        </w:r>
      </w:hyperlink>
      <w:r w:rsidRPr="00B45049">
        <w:rPr>
          <w:rFonts w:ascii="Arial" w:eastAsia="Arial" w:hAnsi="Arial" w:cs="Arial"/>
          <w:color w:val="000000"/>
          <w:sz w:val="20"/>
          <w:szCs w:val="20"/>
        </w:rPr>
        <w:t>, 2009) </w:t>
      </w:r>
      <w:r w:rsidRPr="00B45049">
        <w:rPr>
          <w:rFonts w:ascii="Arial" w:eastAsia="Arial" w:hAnsi="Arial" w:cs="Arial"/>
          <w:color w:val="000000"/>
          <w:sz w:val="20"/>
          <w:szCs w:val="20"/>
        </w:rPr>
        <w:br/>
      </w:r>
    </w:p>
    <w:p w14:paraId="4A755D9F" w14:textId="77777777" w:rsidR="00B305A7" w:rsidRPr="00B45049" w:rsidRDefault="00B305A7" w:rsidP="00B305A7">
      <w:pPr>
        <w:numPr>
          <w:ilvl w:val="0"/>
          <w:numId w:val="4"/>
        </w:numPr>
        <w:rPr>
          <w:rFonts w:ascii="Arial" w:eastAsia="Arial" w:hAnsi="Arial" w:cs="Arial"/>
          <w:color w:val="000000"/>
          <w:sz w:val="20"/>
          <w:szCs w:val="20"/>
        </w:rPr>
      </w:pPr>
      <w:r w:rsidRPr="00B45049">
        <w:rPr>
          <w:rFonts w:ascii="Arial" w:eastAsia="Arial" w:hAnsi="Arial" w:cs="Arial"/>
          <w:b/>
          <w:color w:val="000000"/>
          <w:sz w:val="20"/>
          <w:szCs w:val="20"/>
        </w:rPr>
        <w:t>Investing in the most disadvantaged generates the greatest impact.</w:t>
      </w:r>
      <w:r w:rsidRPr="00B45049">
        <w:rPr>
          <w:rFonts w:ascii="Arial" w:eastAsia="Arial" w:hAnsi="Arial" w:cs="Arial"/>
          <w:color w:val="000000"/>
          <w:sz w:val="20"/>
          <w:szCs w:val="20"/>
        </w:rPr>
        <w:t xml:space="preserve"> In Ghana, building </w:t>
      </w:r>
      <w:r w:rsidRPr="00B45049">
        <w:rPr>
          <w:rFonts w:ascii="Arial" w:eastAsia="Arial" w:hAnsi="Arial" w:cs="Arial"/>
          <w:sz w:val="20"/>
          <w:szCs w:val="20"/>
        </w:rPr>
        <w:t>nurseries</w:t>
      </w:r>
      <w:r w:rsidRPr="00B45049">
        <w:rPr>
          <w:rFonts w:ascii="Arial" w:eastAsia="Arial" w:hAnsi="Arial" w:cs="Arial"/>
          <w:color w:val="000000"/>
          <w:sz w:val="20"/>
          <w:szCs w:val="20"/>
        </w:rPr>
        <w:t xml:space="preserve"> for the poorest children </w:t>
      </w:r>
      <w:r w:rsidRPr="00B45049">
        <w:rPr>
          <w:rFonts w:ascii="Arial" w:eastAsia="Arial" w:hAnsi="Arial" w:cs="Arial"/>
          <w:sz w:val="20"/>
          <w:szCs w:val="20"/>
        </w:rPr>
        <w:t>in</w:t>
      </w:r>
      <w:r w:rsidRPr="00B45049">
        <w:rPr>
          <w:rFonts w:ascii="Arial" w:eastAsia="Arial" w:hAnsi="Arial" w:cs="Arial"/>
          <w:color w:val="000000"/>
          <w:sz w:val="20"/>
          <w:szCs w:val="20"/>
        </w:rPr>
        <w:t xml:space="preserve"> the poorest districts had an impact on primary completion four times that of providing </w:t>
      </w:r>
      <w:r w:rsidRPr="00B45049">
        <w:rPr>
          <w:rFonts w:ascii="Arial" w:eastAsia="Arial" w:hAnsi="Arial" w:cs="Arial"/>
          <w:sz w:val="20"/>
          <w:szCs w:val="20"/>
        </w:rPr>
        <w:t>nurseries</w:t>
      </w:r>
      <w:r w:rsidRPr="00B45049">
        <w:rPr>
          <w:rFonts w:ascii="Arial" w:eastAsia="Arial" w:hAnsi="Arial" w:cs="Arial"/>
          <w:color w:val="000000"/>
          <w:sz w:val="20"/>
          <w:szCs w:val="20"/>
        </w:rPr>
        <w:t xml:space="preserve"> to the general population (</w:t>
      </w:r>
      <w:hyperlink r:id="rId16">
        <w:r w:rsidRPr="00B45049">
          <w:rPr>
            <w:rFonts w:ascii="Arial" w:eastAsia="Arial" w:hAnsi="Arial" w:cs="Arial"/>
            <w:color w:val="1155CC"/>
            <w:sz w:val="20"/>
            <w:szCs w:val="20"/>
            <w:u w:val="single"/>
          </w:rPr>
          <w:t>UNICEF</w:t>
        </w:r>
      </w:hyperlink>
      <w:r w:rsidRPr="00B45049">
        <w:rPr>
          <w:rFonts w:ascii="Arial" w:eastAsia="Arial" w:hAnsi="Arial" w:cs="Arial"/>
          <w:color w:val="000000"/>
          <w:sz w:val="20"/>
          <w:szCs w:val="20"/>
        </w:rPr>
        <w:t>, 2016).</w:t>
      </w:r>
      <w:r w:rsidRPr="00B45049">
        <w:rPr>
          <w:rFonts w:ascii="Arial" w:eastAsia="Arial" w:hAnsi="Arial" w:cs="Arial"/>
          <w:color w:val="000000"/>
          <w:sz w:val="20"/>
          <w:szCs w:val="20"/>
        </w:rPr>
        <w:br/>
      </w:r>
    </w:p>
    <w:p w14:paraId="13956A8A" w14:textId="77777777" w:rsidR="00B305A7" w:rsidRPr="00B45049" w:rsidRDefault="00B305A7" w:rsidP="00B305A7">
      <w:pPr>
        <w:numPr>
          <w:ilvl w:val="0"/>
          <w:numId w:val="4"/>
        </w:numPr>
        <w:rPr>
          <w:rFonts w:ascii="Arial" w:eastAsia="Arial" w:hAnsi="Arial" w:cs="Arial"/>
          <w:color w:val="000000"/>
          <w:sz w:val="20"/>
          <w:szCs w:val="20"/>
        </w:rPr>
      </w:pPr>
      <w:r w:rsidRPr="00B45049">
        <w:rPr>
          <w:rFonts w:ascii="Arial" w:eastAsia="Arial" w:hAnsi="Arial" w:cs="Arial"/>
          <w:b/>
          <w:color w:val="000000"/>
          <w:sz w:val="20"/>
          <w:szCs w:val="20"/>
        </w:rPr>
        <w:lastRenderedPageBreak/>
        <w:t>Providing equitable education is an important driver of national economic growth</w:t>
      </w:r>
      <w:r w:rsidRPr="00B45049">
        <w:rPr>
          <w:rFonts w:ascii="Arial" w:eastAsia="Arial" w:hAnsi="Arial" w:cs="Arial"/>
          <w:color w:val="000000"/>
          <w:sz w:val="20"/>
          <w:szCs w:val="20"/>
        </w:rPr>
        <w:t xml:space="preserve">. </w:t>
      </w:r>
      <w:r w:rsidRPr="00B45049">
        <w:rPr>
          <w:rFonts w:ascii="Arial" w:eastAsia="Arial" w:hAnsi="Arial" w:cs="Arial"/>
          <w:sz w:val="20"/>
          <w:szCs w:val="20"/>
        </w:rPr>
        <w:t>More equal access to education reduces income inequality and poverty, offering all segments of society more equal economic opportunities. If education inequality in sub-Saharan Africa had be</w:t>
      </w:r>
      <w:r w:rsidRPr="00B45049">
        <w:rPr>
          <w:rFonts w:ascii="Arial" w:eastAsia="Arial" w:hAnsi="Arial" w:cs="Arial"/>
          <w:color w:val="000000"/>
          <w:sz w:val="20"/>
          <w:szCs w:val="20"/>
        </w:rPr>
        <w:t xml:space="preserve">en halved, the annual per capita growth rate would have increased nearly 50% over a </w:t>
      </w:r>
      <w:r w:rsidRPr="00B45049">
        <w:rPr>
          <w:rFonts w:ascii="Arial" w:eastAsia="Arial" w:hAnsi="Arial" w:cs="Arial"/>
          <w:sz w:val="20"/>
          <w:szCs w:val="20"/>
        </w:rPr>
        <w:t>five-</w:t>
      </w:r>
      <w:r w:rsidRPr="00B45049">
        <w:rPr>
          <w:rFonts w:ascii="Arial" w:eastAsia="Arial" w:hAnsi="Arial" w:cs="Arial"/>
          <w:color w:val="000000"/>
          <w:sz w:val="20"/>
          <w:szCs w:val="20"/>
        </w:rPr>
        <w:t>year period (</w:t>
      </w:r>
      <w:hyperlink r:id="rId17">
        <w:r w:rsidRPr="00B45049">
          <w:rPr>
            <w:rFonts w:ascii="Arial" w:eastAsia="Arial" w:hAnsi="Arial" w:cs="Arial"/>
            <w:color w:val="1155CC"/>
            <w:sz w:val="20"/>
            <w:szCs w:val="20"/>
            <w:u w:val="single"/>
          </w:rPr>
          <w:t>EFA GMR</w:t>
        </w:r>
      </w:hyperlink>
      <w:r w:rsidRPr="00B45049">
        <w:rPr>
          <w:rFonts w:ascii="Arial" w:eastAsia="Arial" w:hAnsi="Arial" w:cs="Arial"/>
          <w:color w:val="000000"/>
          <w:sz w:val="20"/>
          <w:szCs w:val="20"/>
        </w:rPr>
        <w:t>, 2013).</w:t>
      </w:r>
      <w:r w:rsidRPr="00B45049">
        <w:rPr>
          <w:rFonts w:ascii="Arial" w:eastAsia="Arial" w:hAnsi="Arial" w:cs="Arial"/>
          <w:color w:val="000000"/>
          <w:sz w:val="20"/>
          <w:szCs w:val="20"/>
        </w:rPr>
        <w:br/>
      </w:r>
    </w:p>
    <w:p w14:paraId="0000002E" w14:textId="4569F533" w:rsidR="009423EF" w:rsidRPr="00B305A7" w:rsidRDefault="00B305A7" w:rsidP="00285EEC">
      <w:pPr>
        <w:numPr>
          <w:ilvl w:val="0"/>
          <w:numId w:val="4"/>
        </w:numPr>
        <w:rPr>
          <w:rFonts w:ascii="Arial" w:eastAsia="Arial" w:hAnsi="Arial" w:cs="Arial"/>
          <w:color w:val="000000"/>
          <w:sz w:val="20"/>
          <w:szCs w:val="20"/>
        </w:rPr>
      </w:pPr>
      <w:r w:rsidRPr="00B45049">
        <w:rPr>
          <w:rFonts w:ascii="Arial" w:eastAsia="Arial" w:hAnsi="Arial" w:cs="Arial"/>
          <w:b/>
          <w:color w:val="000000"/>
          <w:sz w:val="20"/>
          <w:szCs w:val="20"/>
        </w:rPr>
        <w:t xml:space="preserve">A marginal increase in education has transformative effects on inequality. </w:t>
      </w:r>
      <w:r w:rsidRPr="00B45049">
        <w:rPr>
          <w:rFonts w:ascii="Arial" w:eastAsia="Arial" w:hAnsi="Arial" w:cs="Arial"/>
          <w:color w:val="000000"/>
          <w:sz w:val="20"/>
          <w:szCs w:val="20"/>
        </w:rPr>
        <w:t>One additional year of education is associated with a 1.4% decrease in income inequality. Societies with high income equality are able to reduce poverty 75% faster (</w:t>
      </w:r>
      <w:proofErr w:type="spellStart"/>
      <w:r w:rsidRPr="00B45049">
        <w:rPr>
          <w:sz w:val="20"/>
          <w:szCs w:val="20"/>
        </w:rPr>
        <w:fldChar w:fldCharType="begin"/>
      </w:r>
      <w:r w:rsidRPr="00B45049">
        <w:rPr>
          <w:sz w:val="20"/>
          <w:szCs w:val="20"/>
        </w:rPr>
        <w:instrText xml:space="preserve"> HYPERLINK "https://books.google.com/books?hl=en&amp;lr=&amp;id=JdyaAAAAQBAJ&amp;oi=fnd&amp;pg=PA170&amp;dq=Patrinos+%26+Psacharopoulos,+2013+equality&amp;ots=5PRXnG2geA&amp;sig=Lh5WbqDS0A76V5AyyMt90SBRTQk" \l "v=onepage&amp;q&amp;f=false" \h </w:instrText>
      </w:r>
      <w:r w:rsidRPr="00B45049">
        <w:rPr>
          <w:sz w:val="20"/>
          <w:szCs w:val="20"/>
        </w:rPr>
        <w:fldChar w:fldCharType="separate"/>
      </w:r>
      <w:r w:rsidRPr="00B45049">
        <w:rPr>
          <w:rFonts w:ascii="Arial" w:eastAsia="Arial" w:hAnsi="Arial" w:cs="Arial"/>
          <w:color w:val="1155CC"/>
          <w:sz w:val="20"/>
          <w:szCs w:val="20"/>
          <w:u w:val="single"/>
        </w:rPr>
        <w:t>Patrinos</w:t>
      </w:r>
      <w:proofErr w:type="spellEnd"/>
      <w:r w:rsidRPr="00B45049">
        <w:rPr>
          <w:rFonts w:ascii="Arial" w:eastAsia="Arial" w:hAnsi="Arial" w:cs="Arial"/>
          <w:color w:val="1155CC"/>
          <w:sz w:val="20"/>
          <w:szCs w:val="20"/>
          <w:u w:val="single"/>
        </w:rPr>
        <w:t xml:space="preserve"> &amp; </w:t>
      </w:r>
      <w:proofErr w:type="spellStart"/>
      <w:r w:rsidRPr="00B45049">
        <w:rPr>
          <w:rFonts w:ascii="Arial" w:eastAsia="Arial" w:hAnsi="Arial" w:cs="Arial"/>
          <w:color w:val="1155CC"/>
          <w:sz w:val="20"/>
          <w:szCs w:val="20"/>
          <w:u w:val="single"/>
        </w:rPr>
        <w:t>Psacharopoulos</w:t>
      </w:r>
      <w:proofErr w:type="spellEnd"/>
      <w:r w:rsidRPr="00B45049">
        <w:rPr>
          <w:rFonts w:ascii="Arial" w:eastAsia="Arial" w:hAnsi="Arial" w:cs="Arial"/>
          <w:color w:val="1155CC"/>
          <w:sz w:val="20"/>
          <w:szCs w:val="20"/>
          <w:u w:val="single"/>
        </w:rPr>
        <w:fldChar w:fldCharType="end"/>
      </w:r>
      <w:r w:rsidRPr="00B45049">
        <w:rPr>
          <w:rFonts w:ascii="Arial" w:eastAsia="Arial" w:hAnsi="Arial" w:cs="Arial"/>
          <w:color w:val="000000"/>
          <w:sz w:val="20"/>
          <w:szCs w:val="20"/>
        </w:rPr>
        <w:t>, 2013). </w:t>
      </w:r>
      <w:r w:rsidRPr="00B45049">
        <w:rPr>
          <w:rFonts w:ascii="Arial" w:eastAsia="Arial" w:hAnsi="Arial" w:cs="Arial"/>
          <w:color w:val="000000"/>
          <w:sz w:val="20"/>
          <w:szCs w:val="20"/>
        </w:rPr>
        <w:br/>
      </w:r>
    </w:p>
    <w:p w14:paraId="6035BA16" w14:textId="0830CB51" w:rsidR="0042053E" w:rsidRDefault="0042053E" w:rsidP="00285EEC">
      <w:pPr>
        <w:rPr>
          <w:rFonts w:ascii="Arial" w:eastAsia="Arial" w:hAnsi="Arial" w:cs="Arial"/>
          <w:color w:val="2A2A2A"/>
          <w:sz w:val="20"/>
          <w:szCs w:val="20"/>
        </w:rPr>
      </w:pPr>
    </w:p>
    <w:p w14:paraId="0C3BAFB0" w14:textId="77777777" w:rsidR="0042053E" w:rsidRPr="00B305A7" w:rsidRDefault="0042053E" w:rsidP="0042053E">
      <w:pPr>
        <w:rPr>
          <w:rFonts w:ascii="Arial" w:eastAsia="Arial" w:hAnsi="Arial" w:cs="Arial"/>
          <w:b/>
          <w:color w:val="1A70B8"/>
        </w:rPr>
      </w:pPr>
      <w:r w:rsidRPr="00B305A7">
        <w:rPr>
          <w:rFonts w:ascii="Arial" w:eastAsia="Arial" w:hAnsi="Arial" w:cs="Arial"/>
          <w:b/>
          <w:color w:val="1A70B8"/>
        </w:rPr>
        <w:t>Key Talking Points</w:t>
      </w:r>
    </w:p>
    <w:p w14:paraId="68CFAF7A" w14:textId="77777777" w:rsidR="0042053E" w:rsidRDefault="0042053E" w:rsidP="0042053E">
      <w:pPr>
        <w:rPr>
          <w:rFonts w:ascii="Arial" w:eastAsia="Arial" w:hAnsi="Arial" w:cs="Arial"/>
          <w:sz w:val="20"/>
          <w:szCs w:val="20"/>
        </w:rPr>
      </w:pPr>
    </w:p>
    <w:p w14:paraId="07D2ABE1" w14:textId="77777777" w:rsidR="00B305A7" w:rsidRPr="00741ADF" w:rsidRDefault="00B305A7" w:rsidP="00741ADF">
      <w:pPr>
        <w:pStyle w:val="ListParagraph"/>
        <w:numPr>
          <w:ilvl w:val="0"/>
          <w:numId w:val="5"/>
        </w:numPr>
        <w:rPr>
          <w:rFonts w:ascii="Arial" w:eastAsia="Arial" w:hAnsi="Arial" w:cs="Arial"/>
          <w:color w:val="000000"/>
          <w:sz w:val="20"/>
          <w:szCs w:val="20"/>
        </w:rPr>
      </w:pPr>
      <w:r w:rsidRPr="00741ADF">
        <w:rPr>
          <w:rFonts w:ascii="Arial" w:eastAsia="Arial" w:hAnsi="Arial" w:cs="Arial"/>
          <w:color w:val="000000"/>
          <w:sz w:val="20"/>
          <w:szCs w:val="20"/>
        </w:rPr>
        <w:t xml:space="preserve">Education can create more equitable societies, if investments provide opportunities to the poorest and most </w:t>
      </w:r>
      <w:proofErr w:type="spellStart"/>
      <w:r w:rsidRPr="00741ADF">
        <w:rPr>
          <w:rFonts w:ascii="Arial" w:eastAsia="Arial" w:hAnsi="Arial" w:cs="Arial"/>
          <w:color w:val="000000"/>
          <w:sz w:val="20"/>
          <w:szCs w:val="20"/>
        </w:rPr>
        <w:t>marginalised</w:t>
      </w:r>
      <w:proofErr w:type="spellEnd"/>
      <w:r w:rsidRPr="00741ADF">
        <w:rPr>
          <w:rFonts w:ascii="Arial" w:eastAsia="Arial" w:hAnsi="Arial" w:cs="Arial"/>
          <w:color w:val="000000"/>
          <w:sz w:val="20"/>
          <w:szCs w:val="20"/>
        </w:rPr>
        <w:t xml:space="preserve">. </w:t>
      </w:r>
    </w:p>
    <w:p w14:paraId="38188AF7" w14:textId="77777777" w:rsidR="00B305A7" w:rsidRPr="00B45049" w:rsidRDefault="00B305A7" w:rsidP="00B305A7">
      <w:pPr>
        <w:rPr>
          <w:rFonts w:ascii="Arial" w:eastAsia="Arial" w:hAnsi="Arial" w:cs="Arial"/>
          <w:color w:val="000000"/>
          <w:sz w:val="20"/>
          <w:szCs w:val="20"/>
        </w:rPr>
      </w:pPr>
    </w:p>
    <w:p w14:paraId="2097F05C" w14:textId="77777777" w:rsidR="00B305A7" w:rsidRPr="00741ADF" w:rsidRDefault="00B305A7" w:rsidP="00741ADF">
      <w:pPr>
        <w:pStyle w:val="ListParagraph"/>
        <w:numPr>
          <w:ilvl w:val="0"/>
          <w:numId w:val="5"/>
        </w:numPr>
        <w:rPr>
          <w:rFonts w:ascii="Arial" w:eastAsia="Arial" w:hAnsi="Arial" w:cs="Arial"/>
          <w:color w:val="000000"/>
          <w:sz w:val="20"/>
          <w:szCs w:val="20"/>
        </w:rPr>
      </w:pPr>
      <w:r w:rsidRPr="00741ADF">
        <w:rPr>
          <w:rFonts w:ascii="Arial" w:eastAsia="Arial" w:hAnsi="Arial" w:cs="Arial"/>
          <w:color w:val="000000"/>
          <w:sz w:val="20"/>
          <w:szCs w:val="20"/>
        </w:rPr>
        <w:t xml:space="preserve">Education has a tremendous power to </w:t>
      </w:r>
      <w:proofErr w:type="spellStart"/>
      <w:r w:rsidRPr="00741ADF">
        <w:rPr>
          <w:rFonts w:ascii="Arial" w:eastAsia="Arial" w:hAnsi="Arial" w:cs="Arial"/>
          <w:color w:val="000000"/>
          <w:sz w:val="20"/>
          <w:szCs w:val="20"/>
        </w:rPr>
        <w:t>equali</w:t>
      </w:r>
      <w:r w:rsidRPr="00741ADF">
        <w:rPr>
          <w:rFonts w:ascii="Arial" w:eastAsia="Arial" w:hAnsi="Arial" w:cs="Arial"/>
          <w:sz w:val="20"/>
          <w:szCs w:val="20"/>
        </w:rPr>
        <w:t>s</w:t>
      </w:r>
      <w:r w:rsidRPr="00741ADF">
        <w:rPr>
          <w:rFonts w:ascii="Arial" w:eastAsia="Arial" w:hAnsi="Arial" w:cs="Arial"/>
          <w:color w:val="000000"/>
          <w:sz w:val="20"/>
          <w:szCs w:val="20"/>
        </w:rPr>
        <w:t>e</w:t>
      </w:r>
      <w:proofErr w:type="spellEnd"/>
      <w:r w:rsidRPr="00741ADF">
        <w:rPr>
          <w:rFonts w:ascii="Arial" w:eastAsia="Arial" w:hAnsi="Arial" w:cs="Arial"/>
          <w:color w:val="000000"/>
          <w:sz w:val="20"/>
          <w:szCs w:val="20"/>
        </w:rPr>
        <w:t xml:space="preserve"> the playing field early in life and helps reduce inequalities between income groups and for minority populations. </w:t>
      </w:r>
    </w:p>
    <w:p w14:paraId="7FECCFF6" w14:textId="77777777" w:rsidR="00B305A7" w:rsidRPr="00B45049" w:rsidRDefault="00B305A7" w:rsidP="00B305A7">
      <w:pPr>
        <w:rPr>
          <w:rFonts w:ascii="Arial" w:eastAsia="Arial" w:hAnsi="Arial" w:cs="Arial"/>
          <w:b/>
          <w:sz w:val="20"/>
          <w:szCs w:val="20"/>
        </w:rPr>
      </w:pPr>
    </w:p>
    <w:p w14:paraId="52F4966D" w14:textId="3AF308B4" w:rsidR="0042053E" w:rsidRPr="00741ADF" w:rsidRDefault="00B305A7" w:rsidP="00741ADF">
      <w:pPr>
        <w:pStyle w:val="ListParagraph"/>
        <w:numPr>
          <w:ilvl w:val="0"/>
          <w:numId w:val="5"/>
        </w:numPr>
        <w:rPr>
          <w:rFonts w:ascii="Arial" w:eastAsia="Arial" w:hAnsi="Arial" w:cs="Arial"/>
          <w:sz w:val="20"/>
          <w:szCs w:val="20"/>
        </w:rPr>
      </w:pPr>
      <w:r w:rsidRPr="00741ADF">
        <w:rPr>
          <w:rFonts w:ascii="Arial" w:eastAsia="Arial" w:hAnsi="Arial" w:cs="Arial"/>
          <w:color w:val="000000"/>
          <w:sz w:val="20"/>
          <w:szCs w:val="20"/>
        </w:rPr>
        <w:t xml:space="preserve">The Education Commission recommended that when balancing spending across levels of education and population groups, decision-makers should </w:t>
      </w:r>
      <w:proofErr w:type="spellStart"/>
      <w:r w:rsidRPr="00741ADF">
        <w:rPr>
          <w:rFonts w:ascii="Arial" w:eastAsia="Arial" w:hAnsi="Arial" w:cs="Arial"/>
          <w:color w:val="000000"/>
          <w:sz w:val="20"/>
          <w:szCs w:val="20"/>
        </w:rPr>
        <w:t>prioriti</w:t>
      </w:r>
      <w:r w:rsidRPr="00741ADF">
        <w:rPr>
          <w:rFonts w:ascii="Arial" w:eastAsia="Arial" w:hAnsi="Arial" w:cs="Arial"/>
          <w:sz w:val="20"/>
          <w:szCs w:val="20"/>
        </w:rPr>
        <w:t>se</w:t>
      </w:r>
      <w:proofErr w:type="spellEnd"/>
      <w:r w:rsidRPr="00741ADF">
        <w:rPr>
          <w:rFonts w:ascii="Arial" w:eastAsia="Arial" w:hAnsi="Arial" w:cs="Arial"/>
          <w:color w:val="000000"/>
          <w:sz w:val="20"/>
          <w:szCs w:val="20"/>
        </w:rPr>
        <w:t xml:space="preserve"> spending for equity and public returns.</w:t>
      </w:r>
      <w:r w:rsidRPr="00741ADF">
        <w:rPr>
          <w:rFonts w:ascii="Arial" w:eastAsia="Arial" w:hAnsi="Arial" w:cs="Arial"/>
          <w:sz w:val="20"/>
          <w:szCs w:val="20"/>
        </w:rPr>
        <w:t xml:space="preserve"> </w:t>
      </w:r>
      <w:r w:rsidRPr="00741ADF">
        <w:rPr>
          <w:rFonts w:ascii="Arial" w:eastAsia="Arial" w:hAnsi="Arial" w:cs="Arial"/>
          <w:color w:val="000000"/>
          <w:sz w:val="20"/>
          <w:szCs w:val="20"/>
        </w:rPr>
        <w:t xml:space="preserve">This includes </w:t>
      </w:r>
      <w:proofErr w:type="spellStart"/>
      <w:r w:rsidRPr="00741ADF">
        <w:rPr>
          <w:rFonts w:ascii="Arial" w:eastAsia="Arial" w:hAnsi="Arial" w:cs="Arial"/>
          <w:color w:val="000000"/>
          <w:sz w:val="20"/>
          <w:szCs w:val="20"/>
        </w:rPr>
        <w:t>prioriti</w:t>
      </w:r>
      <w:r w:rsidRPr="00741ADF">
        <w:rPr>
          <w:rFonts w:ascii="Arial" w:eastAsia="Arial" w:hAnsi="Arial" w:cs="Arial"/>
          <w:sz w:val="20"/>
          <w:szCs w:val="20"/>
        </w:rPr>
        <w:t>s</w:t>
      </w:r>
      <w:r w:rsidRPr="00741ADF">
        <w:rPr>
          <w:rFonts w:ascii="Arial" w:eastAsia="Arial" w:hAnsi="Arial" w:cs="Arial"/>
          <w:color w:val="000000"/>
          <w:sz w:val="20"/>
          <w:szCs w:val="20"/>
        </w:rPr>
        <w:t>ing</w:t>
      </w:r>
      <w:proofErr w:type="spellEnd"/>
      <w:r w:rsidRPr="00741ADF">
        <w:rPr>
          <w:rFonts w:ascii="Arial" w:eastAsia="Arial" w:hAnsi="Arial" w:cs="Arial"/>
          <w:color w:val="000000"/>
          <w:sz w:val="20"/>
          <w:szCs w:val="20"/>
        </w:rPr>
        <w:t xml:space="preserve"> the poor or disadvantaged, </w:t>
      </w:r>
      <w:r w:rsidRPr="00741ADF">
        <w:rPr>
          <w:rFonts w:ascii="Arial" w:eastAsia="Arial" w:hAnsi="Arial" w:cs="Arial"/>
          <w:sz w:val="20"/>
          <w:szCs w:val="20"/>
        </w:rPr>
        <w:t>areas with</w:t>
      </w:r>
      <w:r w:rsidRPr="00741ADF">
        <w:rPr>
          <w:rFonts w:ascii="Arial" w:eastAsia="Arial" w:hAnsi="Arial" w:cs="Arial"/>
          <w:color w:val="000000"/>
          <w:sz w:val="20"/>
          <w:szCs w:val="20"/>
        </w:rPr>
        <w:t xml:space="preserve"> lower levels of education where social returns are </w:t>
      </w:r>
      <w:proofErr w:type="gramStart"/>
      <w:r w:rsidRPr="00741ADF">
        <w:rPr>
          <w:rFonts w:ascii="Arial" w:eastAsia="Arial" w:hAnsi="Arial" w:cs="Arial"/>
          <w:color w:val="000000"/>
          <w:sz w:val="20"/>
          <w:szCs w:val="20"/>
        </w:rPr>
        <w:t>highest, and</w:t>
      </w:r>
      <w:proofErr w:type="gramEnd"/>
      <w:r w:rsidRPr="00741ADF">
        <w:rPr>
          <w:rFonts w:ascii="Arial" w:eastAsia="Arial" w:hAnsi="Arial" w:cs="Arial"/>
          <w:color w:val="000000"/>
          <w:sz w:val="20"/>
          <w:szCs w:val="20"/>
        </w:rPr>
        <w:t xml:space="preserve"> supporting the complementary role for private financing and cost recovery for higher levels of education where appropriate.</w:t>
      </w:r>
    </w:p>
    <w:sectPr w:rsidR="0042053E" w:rsidRPr="00741ADF" w:rsidSect="00DE0A94">
      <w:headerReference w:type="default" r:id="rId18"/>
      <w:footerReference w:type="default" r:id="rId19"/>
      <w:pgSz w:w="12240" w:h="15840"/>
      <w:pgMar w:top="216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5023D" w14:textId="77777777" w:rsidR="007812A1" w:rsidRDefault="007812A1" w:rsidP="003F1804">
      <w:r>
        <w:separator/>
      </w:r>
    </w:p>
  </w:endnote>
  <w:endnote w:type="continuationSeparator" w:id="0">
    <w:p w14:paraId="3C822928" w14:textId="77777777" w:rsidR="007812A1" w:rsidRDefault="007812A1" w:rsidP="003F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1AE4" w14:textId="5BBD4476" w:rsidR="00D006BC" w:rsidRPr="00285EEC" w:rsidRDefault="00285EEC" w:rsidP="00D006BC">
    <w:pPr>
      <w:rPr>
        <w:rFonts w:ascii="Arial" w:hAnsi="Arial" w:cs="Arial"/>
        <w:sz w:val="14"/>
        <w:szCs w:val="14"/>
      </w:rPr>
    </w:pPr>
    <w:r w:rsidRPr="00285EEC">
      <w:rPr>
        <w:rFonts w:ascii="Arial" w:hAnsi="Arial" w:cs="Arial"/>
        <w:color w:val="000000"/>
        <w:sz w:val="14"/>
        <w:szCs w:val="14"/>
      </w:rPr>
      <w:t xml:space="preserve">September 2020. </w:t>
    </w:r>
    <w:r w:rsidR="00D006BC" w:rsidRPr="00285EEC">
      <w:rPr>
        <w:rFonts w:ascii="Arial" w:hAnsi="Arial" w:cs="Arial"/>
        <w:color w:val="000000"/>
        <w:sz w:val="14"/>
        <w:szCs w:val="14"/>
      </w:rPr>
      <w:t>For all references and citations, visit</w:t>
    </w:r>
    <w:r w:rsidR="00D006BC" w:rsidRPr="00285EEC">
      <w:rPr>
        <w:rStyle w:val="apple-converted-space"/>
        <w:rFonts w:ascii="Arial" w:hAnsi="Arial" w:cs="Arial"/>
        <w:color w:val="000000"/>
        <w:sz w:val="14"/>
        <w:szCs w:val="14"/>
      </w:rPr>
      <w:t> </w:t>
    </w:r>
    <w:hyperlink r:id="rId1" w:history="1">
      <w:r w:rsidR="00D006BC" w:rsidRPr="00285EEC">
        <w:rPr>
          <w:rStyle w:val="Hyperlink"/>
          <w:rFonts w:ascii="Arial" w:hAnsi="Arial" w:cs="Arial"/>
          <w:sz w:val="14"/>
          <w:szCs w:val="14"/>
        </w:rPr>
        <w:t>key.theirworld.org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C0E2" w14:textId="77777777" w:rsidR="007812A1" w:rsidRDefault="007812A1" w:rsidP="003F1804">
      <w:r>
        <w:separator/>
      </w:r>
    </w:p>
  </w:footnote>
  <w:footnote w:type="continuationSeparator" w:id="0">
    <w:p w14:paraId="0AB01165" w14:textId="77777777" w:rsidR="007812A1" w:rsidRDefault="007812A1" w:rsidP="003F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5C93" w14:textId="15289EAF" w:rsidR="003F1804" w:rsidRDefault="00285EEC">
    <w:pPr>
      <w:pStyle w:val="Header"/>
    </w:pPr>
    <w:r>
      <w:rPr>
        <w:noProof/>
      </w:rPr>
      <w:drawing>
        <wp:anchor distT="0" distB="0" distL="114300" distR="114300" simplePos="0" relativeHeight="251659264" behindDoc="0" locked="0" layoutInCell="1" allowOverlap="1" wp14:anchorId="52DEDB31" wp14:editId="58DFFF13">
          <wp:simplePos x="0" y="0"/>
          <wp:positionH relativeFrom="column">
            <wp:posOffset>3801110</wp:posOffset>
          </wp:positionH>
          <wp:positionV relativeFrom="page">
            <wp:posOffset>461645</wp:posOffset>
          </wp:positionV>
          <wp:extent cx="2229485" cy="328930"/>
          <wp:effectExtent l="0" t="0" r="0" b="127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9485" cy="3289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01D5BB" wp14:editId="525C6A5A">
          <wp:simplePos x="0" y="0"/>
          <wp:positionH relativeFrom="column">
            <wp:posOffset>0</wp:posOffset>
          </wp:positionH>
          <wp:positionV relativeFrom="page">
            <wp:posOffset>457200</wp:posOffset>
          </wp:positionV>
          <wp:extent cx="3018773" cy="569870"/>
          <wp:effectExtent l="0" t="0" r="4445" b="190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018773" cy="56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791"/>
    <w:multiLevelType w:val="multilevel"/>
    <w:tmpl w:val="7E226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265523"/>
    <w:multiLevelType w:val="multilevel"/>
    <w:tmpl w:val="F208D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10416A"/>
    <w:multiLevelType w:val="multilevel"/>
    <w:tmpl w:val="63BE0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C7962E9"/>
    <w:multiLevelType w:val="multilevel"/>
    <w:tmpl w:val="7C261F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9062A91"/>
    <w:multiLevelType w:val="hybridMultilevel"/>
    <w:tmpl w:val="68DA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EF"/>
    <w:rsid w:val="000421DD"/>
    <w:rsid w:val="00285EEC"/>
    <w:rsid w:val="002A6C14"/>
    <w:rsid w:val="003C4824"/>
    <w:rsid w:val="003F1804"/>
    <w:rsid w:val="0042053E"/>
    <w:rsid w:val="007102ED"/>
    <w:rsid w:val="00741ADF"/>
    <w:rsid w:val="007812A1"/>
    <w:rsid w:val="00827C22"/>
    <w:rsid w:val="008D06D6"/>
    <w:rsid w:val="009423EF"/>
    <w:rsid w:val="00B305A7"/>
    <w:rsid w:val="00C922CF"/>
    <w:rsid w:val="00CE1AEA"/>
    <w:rsid w:val="00D006BC"/>
    <w:rsid w:val="00DE0A94"/>
    <w:rsid w:val="00E84671"/>
    <w:rsid w:val="00F72ADA"/>
    <w:rsid w:val="00FA7D3F"/>
    <w:rsid w:val="00FC0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8F0E"/>
  <w15:docId w15:val="{9EA43054-C64E-AD4F-B3B2-C62F9016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B62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6292"/>
    <w:rPr>
      <w:rFonts w:ascii="Times New Roman" w:hAnsi="Times New Roman" w:cs="Times New Roman"/>
      <w:sz w:val="18"/>
      <w:szCs w:val="18"/>
    </w:rPr>
  </w:style>
  <w:style w:type="paragraph" w:styleId="NormalWeb">
    <w:name w:val="Normal (Web)"/>
    <w:basedOn w:val="Normal"/>
    <w:uiPriority w:val="99"/>
    <w:semiHidden/>
    <w:unhideWhenUsed/>
    <w:rsid w:val="00133F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3F7F"/>
    <w:rPr>
      <w:color w:val="0000FF"/>
      <w:u w:val="single"/>
    </w:rPr>
  </w:style>
  <w:style w:type="paragraph" w:styleId="ListParagraph">
    <w:name w:val="List Paragraph"/>
    <w:basedOn w:val="Normal"/>
    <w:uiPriority w:val="34"/>
    <w:qFormat/>
    <w:rsid w:val="00133F7F"/>
    <w:pPr>
      <w:ind w:left="720"/>
      <w:contextualSpacing/>
    </w:pPr>
  </w:style>
  <w:style w:type="character" w:styleId="UnresolvedMention">
    <w:name w:val="Unresolved Mention"/>
    <w:basedOn w:val="DefaultParagraphFont"/>
    <w:uiPriority w:val="99"/>
    <w:semiHidden/>
    <w:unhideWhenUsed/>
    <w:rsid w:val="00C613B4"/>
    <w:rPr>
      <w:color w:val="605E5C"/>
      <w:shd w:val="clear" w:color="auto" w:fill="E1DFDD"/>
    </w:rPr>
  </w:style>
  <w:style w:type="character" w:styleId="FollowedHyperlink">
    <w:name w:val="FollowedHyperlink"/>
    <w:basedOn w:val="DefaultParagraphFont"/>
    <w:uiPriority w:val="99"/>
    <w:semiHidden/>
    <w:unhideWhenUsed/>
    <w:rsid w:val="00833C4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1804"/>
    <w:pPr>
      <w:tabs>
        <w:tab w:val="center" w:pos="4680"/>
        <w:tab w:val="right" w:pos="9360"/>
      </w:tabs>
    </w:pPr>
  </w:style>
  <w:style w:type="character" w:customStyle="1" w:styleId="HeaderChar">
    <w:name w:val="Header Char"/>
    <w:basedOn w:val="DefaultParagraphFont"/>
    <w:link w:val="Header"/>
    <w:uiPriority w:val="99"/>
    <w:rsid w:val="003F1804"/>
  </w:style>
  <w:style w:type="paragraph" w:styleId="Footer">
    <w:name w:val="footer"/>
    <w:basedOn w:val="Normal"/>
    <w:link w:val="FooterChar"/>
    <w:uiPriority w:val="99"/>
    <w:unhideWhenUsed/>
    <w:rsid w:val="003F1804"/>
    <w:pPr>
      <w:tabs>
        <w:tab w:val="center" w:pos="4680"/>
        <w:tab w:val="right" w:pos="9360"/>
      </w:tabs>
    </w:pPr>
  </w:style>
  <w:style w:type="character" w:customStyle="1" w:styleId="FooterChar">
    <w:name w:val="Footer Char"/>
    <w:basedOn w:val="DefaultParagraphFont"/>
    <w:link w:val="Footer"/>
    <w:uiPriority w:val="99"/>
    <w:rsid w:val="003F1804"/>
  </w:style>
  <w:style w:type="character" w:customStyle="1" w:styleId="apple-converted-space">
    <w:name w:val="apple-converted-space"/>
    <w:basedOn w:val="DefaultParagraphFont"/>
    <w:rsid w:val="00D0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14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sites/default/files/2019-03/Investment_Case_for_Education_and_Equity-ENG.pdf" TargetMode="External"/><Relationship Id="rId13" Type="http://schemas.openxmlformats.org/officeDocument/2006/relationships/hyperlink" Target="https://gbc-education.org/wp-content/uploads/2016/06/opportunities_for_impact-_the_business_case_for_early_childhood_development_final3-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port.educationcommission.org/downloads/" TargetMode="External"/><Relationship Id="rId17" Type="http://schemas.openxmlformats.org/officeDocument/2006/relationships/hyperlink" Target="https://unesdoc.unesco.org/ark:/48223/pf0000223115" TargetMode="External"/><Relationship Id="rId2" Type="http://schemas.openxmlformats.org/officeDocument/2006/relationships/numbering" Target="numbering.xml"/><Relationship Id="rId16" Type="http://schemas.openxmlformats.org/officeDocument/2006/relationships/hyperlink" Target="https://www.unicef.org/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unesco.org/sites/default/files/documents/fs18-reaching-out-of-school-children-is-crucial-for-development-en.pdf" TargetMode="External"/><Relationship Id="rId5" Type="http://schemas.openxmlformats.org/officeDocument/2006/relationships/webSettings" Target="webSettings.xml"/><Relationship Id="rId15" Type="http://schemas.openxmlformats.org/officeDocument/2006/relationships/hyperlink" Target="https://www.tandfonline.com/doi/abs/10.1080/03057920701712833" TargetMode="External"/><Relationship Id="rId10" Type="http://schemas.openxmlformats.org/officeDocument/2006/relationships/hyperlink" Target="https://www.unicef.org/publications/index_7872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73718" TargetMode="External"/><Relationship Id="rId14" Type="http://schemas.openxmlformats.org/officeDocument/2006/relationships/hyperlink" Target="https://pubmed.ncbi.nlm.nih.gov/245712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key.theirworl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9edSD/pLG72hd3fKJi4esmFDKg==">AMUW2mUzOcElyBLFRMi52Zi/fp5TWcN1w0vuJdd0fM2nIV0JLtmrAOILGHRYX01dokL1msPc9Ew9Nm+WBZZPmtAvdiyi64AcXquV+BvNdKog0/uO3+AZgvI=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van Fleet</dc:creator>
  <cp:lastModifiedBy>Nick Eagleton</cp:lastModifiedBy>
  <cp:revision>4</cp:revision>
  <dcterms:created xsi:type="dcterms:W3CDTF">2020-09-17T15:38:00Z</dcterms:created>
  <dcterms:modified xsi:type="dcterms:W3CDTF">2020-09-18T06:49:00Z</dcterms:modified>
</cp:coreProperties>
</file>