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9CD6BC5" w:rsidR="009423EF" w:rsidRPr="009C56F2" w:rsidRDefault="00A829A6">
      <w:pPr>
        <w:rPr>
          <w:rFonts w:ascii="Arial" w:eastAsia="Arial" w:hAnsi="Arial" w:cs="Arial"/>
          <w:b/>
          <w:color w:val="00A19A"/>
          <w:sz w:val="44"/>
          <w:szCs w:val="44"/>
        </w:rPr>
      </w:pPr>
      <w:r w:rsidRPr="009C56F2">
        <w:rPr>
          <w:rFonts w:ascii="Arial" w:eastAsia="Arial" w:hAnsi="Arial" w:cs="Arial"/>
          <w:b/>
          <w:color w:val="00A19A"/>
          <w:sz w:val="44"/>
          <w:szCs w:val="44"/>
        </w:rPr>
        <w:t>E</w:t>
      </w:r>
      <w:r w:rsidR="00B05756" w:rsidRPr="009C56F2">
        <w:rPr>
          <w:rFonts w:ascii="Arial" w:eastAsia="Arial" w:hAnsi="Arial" w:cs="Arial"/>
          <w:b/>
          <w:color w:val="00A19A"/>
          <w:sz w:val="44"/>
          <w:szCs w:val="44"/>
        </w:rPr>
        <w:t>ducation</w:t>
      </w:r>
      <w:r w:rsidRPr="009C56F2">
        <w:rPr>
          <w:rFonts w:ascii="Arial" w:eastAsia="Arial" w:hAnsi="Arial" w:cs="Arial"/>
          <w:b/>
          <w:color w:val="00A19A"/>
          <w:sz w:val="44"/>
          <w:szCs w:val="44"/>
        </w:rPr>
        <w:t xml:space="preserve"> and </w:t>
      </w:r>
      <w:r w:rsidR="009C56F2" w:rsidRPr="009C56F2">
        <w:rPr>
          <w:rFonts w:ascii="Arial" w:eastAsia="Arial" w:hAnsi="Arial" w:cs="Arial"/>
          <w:b/>
          <w:color w:val="00A19A"/>
          <w:sz w:val="44"/>
          <w:szCs w:val="44"/>
        </w:rPr>
        <w:t>Public Health</w:t>
      </w:r>
    </w:p>
    <w:p w14:paraId="00000003" w14:textId="392CA98D" w:rsidR="009423EF" w:rsidRDefault="009423EF">
      <w:pPr>
        <w:rPr>
          <w:rFonts w:ascii="Arial" w:eastAsia="Arial" w:hAnsi="Arial" w:cs="Arial"/>
          <w:b/>
          <w:sz w:val="20"/>
          <w:szCs w:val="20"/>
        </w:rPr>
      </w:pPr>
    </w:p>
    <w:p w14:paraId="017153A1" w14:textId="77777777" w:rsidR="00DE0A94" w:rsidRPr="003F1804" w:rsidRDefault="00DE0A94">
      <w:pPr>
        <w:rPr>
          <w:rFonts w:ascii="Arial" w:eastAsia="Arial" w:hAnsi="Arial" w:cs="Arial"/>
          <w:b/>
          <w:sz w:val="20"/>
          <w:szCs w:val="20"/>
        </w:rPr>
      </w:pPr>
    </w:p>
    <w:p w14:paraId="6529D69D" w14:textId="70842F27" w:rsidR="00FA7D3F" w:rsidRPr="009C56F2" w:rsidRDefault="00CE1AEA">
      <w:pPr>
        <w:rPr>
          <w:rFonts w:ascii="Arial" w:eastAsia="Arial" w:hAnsi="Arial" w:cs="Arial"/>
          <w:b/>
          <w:color w:val="00A19A"/>
          <w:sz w:val="28"/>
          <w:szCs w:val="28"/>
        </w:rPr>
      </w:pPr>
      <w:r w:rsidRPr="009C56F2">
        <w:rPr>
          <w:rFonts w:ascii="Arial" w:eastAsia="Arial" w:hAnsi="Arial" w:cs="Arial"/>
          <w:b/>
          <w:color w:val="00A19A"/>
          <w:sz w:val="28"/>
          <w:szCs w:val="28"/>
        </w:rPr>
        <w:t>Message Framing</w:t>
      </w:r>
    </w:p>
    <w:p w14:paraId="24167F9E" w14:textId="77777777" w:rsidR="009C56F2" w:rsidRPr="009C56F2" w:rsidRDefault="009C56F2" w:rsidP="009C56F2">
      <w:pPr>
        <w:spacing w:before="240" w:after="240"/>
        <w:rPr>
          <w:rFonts w:ascii="Times New Roman" w:eastAsia="Times New Roman" w:hAnsi="Times New Roman" w:cs="Times New Roman"/>
          <w:sz w:val="28"/>
          <w:szCs w:val="28"/>
        </w:rPr>
      </w:pPr>
      <w:r w:rsidRPr="009C56F2">
        <w:rPr>
          <w:rFonts w:ascii="Arial" w:eastAsia="Arial" w:hAnsi="Arial" w:cs="Arial"/>
          <w:b/>
          <w:color w:val="000000"/>
          <w:sz w:val="28"/>
          <w:szCs w:val="28"/>
        </w:rPr>
        <w:t>Investing in education has enormous public health benefits for children and families – and investing in good public health promotes learning.</w:t>
      </w:r>
      <w:r w:rsidRPr="009C56F2">
        <w:rPr>
          <w:rFonts w:ascii="Arial" w:eastAsia="Arial" w:hAnsi="Arial" w:cs="Arial"/>
          <w:color w:val="000000"/>
          <w:sz w:val="28"/>
          <w:szCs w:val="28"/>
        </w:rPr>
        <w:t xml:space="preserve"> Families and children benefiting from education are healthier. Healthier children are more likely to attend school regularly and learn better. </w:t>
      </w:r>
      <w:r w:rsidRPr="009C56F2">
        <w:rPr>
          <w:rFonts w:ascii="Arial" w:eastAsia="Arial" w:hAnsi="Arial" w:cs="Arial"/>
          <w:sz w:val="28"/>
          <w:szCs w:val="28"/>
        </w:rPr>
        <w:t>U</w:t>
      </w:r>
      <w:r w:rsidRPr="009C56F2">
        <w:rPr>
          <w:rFonts w:ascii="Arial" w:eastAsia="Arial" w:hAnsi="Arial" w:cs="Arial"/>
          <w:color w:val="000000"/>
          <w:sz w:val="28"/>
          <w:szCs w:val="28"/>
        </w:rPr>
        <w:t>sing schools as a point of delivery for health services can create greater efficiencies in the provision of social services. Moreover, investing in education is essential in building a strong public health workforce for the future.</w:t>
      </w:r>
    </w:p>
    <w:p w14:paraId="187A7933" w14:textId="77777777" w:rsidR="0042053E" w:rsidRPr="003F1804" w:rsidRDefault="0042053E">
      <w:pPr>
        <w:rPr>
          <w:rFonts w:ascii="Arial" w:eastAsia="Arial" w:hAnsi="Arial" w:cs="Arial"/>
          <w:b/>
          <w:sz w:val="20"/>
          <w:szCs w:val="20"/>
        </w:rPr>
      </w:pPr>
    </w:p>
    <w:p w14:paraId="143C3240" w14:textId="72B5EB90" w:rsidR="00B305A7" w:rsidRPr="009C56F2" w:rsidRDefault="00CE1AEA">
      <w:pPr>
        <w:rPr>
          <w:rFonts w:ascii="Arial" w:eastAsia="Arial" w:hAnsi="Arial" w:cs="Arial"/>
          <w:b/>
          <w:color w:val="00A19A"/>
        </w:rPr>
      </w:pPr>
      <w:r w:rsidRPr="009C56F2">
        <w:rPr>
          <w:rFonts w:ascii="Arial" w:eastAsia="Arial" w:hAnsi="Arial" w:cs="Arial"/>
          <w:b/>
          <w:color w:val="00A19A"/>
        </w:rPr>
        <w:t xml:space="preserve">Key </w:t>
      </w:r>
      <w:r w:rsidR="0042053E" w:rsidRPr="009C56F2">
        <w:rPr>
          <w:rFonts w:ascii="Arial" w:eastAsia="Arial" w:hAnsi="Arial" w:cs="Arial"/>
          <w:b/>
          <w:color w:val="00A19A"/>
        </w:rPr>
        <w:t>challenges</w:t>
      </w:r>
    </w:p>
    <w:p w14:paraId="481AE847" w14:textId="77777777" w:rsidR="00A829A6" w:rsidRPr="00A829A6" w:rsidRDefault="00A829A6">
      <w:pPr>
        <w:rPr>
          <w:rFonts w:ascii="Arial" w:eastAsia="Arial" w:hAnsi="Arial" w:cs="Arial"/>
          <w:b/>
          <w:color w:val="1A70B8"/>
        </w:rPr>
      </w:pPr>
    </w:p>
    <w:p w14:paraId="14FDD4A3" w14:textId="77777777" w:rsidR="009C56F2" w:rsidRPr="00421190" w:rsidRDefault="009C56F2" w:rsidP="009C56F2">
      <w:pPr>
        <w:numPr>
          <w:ilvl w:val="0"/>
          <w:numId w:val="13"/>
        </w:numPr>
        <w:rPr>
          <w:rFonts w:ascii="Arial" w:eastAsia="Arial" w:hAnsi="Arial" w:cs="Arial"/>
          <w:sz w:val="20"/>
          <w:szCs w:val="20"/>
        </w:rPr>
      </w:pPr>
      <w:r w:rsidRPr="00421190">
        <w:rPr>
          <w:rFonts w:ascii="Arial" w:eastAsia="Arial" w:hAnsi="Arial" w:cs="Arial"/>
          <w:b/>
          <w:sz w:val="20"/>
          <w:szCs w:val="20"/>
        </w:rPr>
        <w:t>Reducing investment in education leads to greater health cost burdens on government budgets.</w:t>
      </w:r>
      <w:r w:rsidRPr="00421190">
        <w:rPr>
          <w:rFonts w:ascii="Arial" w:eastAsia="Arial" w:hAnsi="Arial" w:cs="Arial"/>
          <w:sz w:val="20"/>
          <w:szCs w:val="20"/>
        </w:rPr>
        <w:t xml:space="preserve"> In the US, reduced spending in education led to more illness and higher medical care costs that offset the intended 'savings' of the same budget cuts (</w:t>
      </w:r>
      <w:hyperlink r:id="rId8">
        <w:r w:rsidRPr="00421190">
          <w:rPr>
            <w:rFonts w:ascii="Arial" w:eastAsia="Arial" w:hAnsi="Arial" w:cs="Arial"/>
            <w:color w:val="1155CC"/>
            <w:sz w:val="20"/>
            <w:szCs w:val="20"/>
            <w:u w:val="single"/>
          </w:rPr>
          <w:t>AAFP</w:t>
        </w:r>
      </w:hyperlink>
      <w:r w:rsidRPr="00421190">
        <w:rPr>
          <w:rFonts w:ascii="Arial" w:eastAsia="Arial" w:hAnsi="Arial" w:cs="Arial"/>
          <w:sz w:val="20"/>
          <w:szCs w:val="20"/>
        </w:rPr>
        <w:t>, 2015).</w:t>
      </w:r>
    </w:p>
    <w:p w14:paraId="7F0307C8" w14:textId="51015A50" w:rsidR="00A829A6" w:rsidRDefault="00A829A6">
      <w:pPr>
        <w:rPr>
          <w:rFonts w:ascii="Arial" w:eastAsia="Arial" w:hAnsi="Arial" w:cs="Arial"/>
          <w:sz w:val="20"/>
          <w:szCs w:val="20"/>
        </w:rPr>
      </w:pPr>
    </w:p>
    <w:p w14:paraId="3BF290EB" w14:textId="77777777" w:rsidR="009C56F2" w:rsidRPr="003F1804" w:rsidRDefault="009C56F2">
      <w:pPr>
        <w:rPr>
          <w:rFonts w:ascii="Arial" w:eastAsia="Arial" w:hAnsi="Arial" w:cs="Arial"/>
          <w:sz w:val="20"/>
          <w:szCs w:val="20"/>
        </w:rPr>
      </w:pPr>
    </w:p>
    <w:p w14:paraId="0000001C" w14:textId="42835B28" w:rsidR="009423EF" w:rsidRPr="009C56F2" w:rsidRDefault="0042053E" w:rsidP="00B305A7">
      <w:pPr>
        <w:rPr>
          <w:rFonts w:ascii="Arial" w:eastAsia="Arial" w:hAnsi="Arial" w:cs="Arial"/>
          <w:b/>
          <w:color w:val="00A19A"/>
        </w:rPr>
      </w:pPr>
      <w:r w:rsidRPr="009C56F2">
        <w:rPr>
          <w:rFonts w:ascii="Arial" w:eastAsia="Arial" w:hAnsi="Arial" w:cs="Arial"/>
          <w:b/>
          <w:color w:val="00A19A"/>
        </w:rPr>
        <w:t>Making the case</w:t>
      </w:r>
    </w:p>
    <w:p w14:paraId="0B9401D6" w14:textId="77777777" w:rsidR="009C56F2" w:rsidRPr="00421190" w:rsidRDefault="009C56F2" w:rsidP="009C56F2">
      <w:pPr>
        <w:numPr>
          <w:ilvl w:val="0"/>
          <w:numId w:val="13"/>
        </w:numPr>
        <w:spacing w:before="240"/>
        <w:rPr>
          <w:rFonts w:ascii="Arial" w:eastAsia="Arial" w:hAnsi="Arial" w:cs="Arial"/>
          <w:color w:val="000000"/>
          <w:sz w:val="20"/>
          <w:szCs w:val="20"/>
        </w:rPr>
      </w:pPr>
      <w:r w:rsidRPr="00421190">
        <w:rPr>
          <w:rFonts w:ascii="Arial" w:eastAsia="Arial" w:hAnsi="Arial" w:cs="Arial"/>
          <w:b/>
          <w:color w:val="000000"/>
          <w:sz w:val="20"/>
          <w:szCs w:val="20"/>
        </w:rPr>
        <w:t>An educated mother provides a wealth of life-saving health benefits to her child.</w:t>
      </w:r>
      <w:r w:rsidRPr="00421190">
        <w:rPr>
          <w:rFonts w:ascii="Arial" w:eastAsia="Arial" w:hAnsi="Arial" w:cs="Arial"/>
          <w:color w:val="000000"/>
          <w:sz w:val="20"/>
          <w:szCs w:val="20"/>
        </w:rPr>
        <w:t xml:space="preserve"> A child whose mother can read is 50% more likely to live past the age of five, 50% more likely to be </w:t>
      </w:r>
      <w:proofErr w:type="spellStart"/>
      <w:r w:rsidRPr="00421190">
        <w:rPr>
          <w:rFonts w:ascii="Arial" w:eastAsia="Arial" w:hAnsi="Arial" w:cs="Arial"/>
          <w:color w:val="000000"/>
          <w:sz w:val="20"/>
          <w:szCs w:val="20"/>
        </w:rPr>
        <w:t>immuni</w:t>
      </w:r>
      <w:r w:rsidRPr="00421190">
        <w:rPr>
          <w:rFonts w:ascii="Arial" w:eastAsia="Arial" w:hAnsi="Arial" w:cs="Arial"/>
          <w:sz w:val="20"/>
          <w:szCs w:val="20"/>
        </w:rPr>
        <w:t>s</w:t>
      </w:r>
      <w:r w:rsidRPr="00421190">
        <w:rPr>
          <w:rFonts w:ascii="Arial" w:eastAsia="Arial" w:hAnsi="Arial" w:cs="Arial"/>
          <w:color w:val="000000"/>
          <w:sz w:val="20"/>
          <w:szCs w:val="20"/>
        </w:rPr>
        <w:t>ed</w:t>
      </w:r>
      <w:proofErr w:type="spellEnd"/>
      <w:r w:rsidRPr="00421190">
        <w:rPr>
          <w:rFonts w:ascii="Arial" w:eastAsia="Arial" w:hAnsi="Arial" w:cs="Arial"/>
          <w:color w:val="000000"/>
          <w:sz w:val="20"/>
          <w:szCs w:val="20"/>
        </w:rPr>
        <w:t>, and twice as likely to attend school (</w:t>
      </w:r>
      <w:hyperlink r:id="rId9">
        <w:r w:rsidRPr="00421190">
          <w:rPr>
            <w:rFonts w:ascii="Arial" w:eastAsia="Arial" w:hAnsi="Arial" w:cs="Arial"/>
            <w:color w:val="1155CC"/>
            <w:sz w:val="20"/>
            <w:szCs w:val="20"/>
            <w:u w:val="single"/>
          </w:rPr>
          <w:t>International Commission on Financing Global Education Opportunity</w:t>
        </w:r>
      </w:hyperlink>
      <w:r w:rsidRPr="00421190">
        <w:rPr>
          <w:rFonts w:ascii="Arial" w:eastAsia="Arial" w:hAnsi="Arial" w:cs="Arial"/>
          <w:color w:val="000000"/>
          <w:sz w:val="20"/>
          <w:szCs w:val="20"/>
        </w:rPr>
        <w:t>, 2017).</w:t>
      </w:r>
      <w:r w:rsidRPr="00421190">
        <w:rPr>
          <w:rFonts w:ascii="Arial" w:eastAsia="Arial" w:hAnsi="Arial" w:cs="Arial"/>
          <w:color w:val="000000"/>
          <w:sz w:val="20"/>
          <w:szCs w:val="20"/>
        </w:rPr>
        <w:br/>
      </w:r>
    </w:p>
    <w:p w14:paraId="4817339A" w14:textId="77777777" w:rsidR="009C56F2" w:rsidRPr="00421190" w:rsidRDefault="009C56F2" w:rsidP="009C56F2">
      <w:pPr>
        <w:numPr>
          <w:ilvl w:val="0"/>
          <w:numId w:val="13"/>
        </w:numPr>
        <w:pBdr>
          <w:top w:val="nil"/>
          <w:left w:val="nil"/>
          <w:bottom w:val="nil"/>
          <w:right w:val="nil"/>
          <w:between w:val="nil"/>
        </w:pBdr>
        <w:rPr>
          <w:rFonts w:ascii="Arial" w:eastAsia="Arial" w:hAnsi="Arial" w:cs="Arial"/>
          <w:color w:val="000000"/>
          <w:sz w:val="20"/>
          <w:szCs w:val="20"/>
        </w:rPr>
      </w:pPr>
      <w:r w:rsidRPr="00421190">
        <w:rPr>
          <w:rFonts w:ascii="Arial" w:eastAsia="Arial" w:hAnsi="Arial" w:cs="Arial"/>
          <w:b/>
          <w:color w:val="000000"/>
          <w:sz w:val="20"/>
          <w:szCs w:val="20"/>
        </w:rPr>
        <w:t>Without investments in education, there will be a severe shortage of health workers.</w:t>
      </w:r>
      <w:r w:rsidRPr="00421190">
        <w:rPr>
          <w:rFonts w:ascii="Arial" w:eastAsia="Arial" w:hAnsi="Arial" w:cs="Arial"/>
          <w:color w:val="000000"/>
          <w:sz w:val="20"/>
          <w:szCs w:val="20"/>
        </w:rPr>
        <w:t xml:space="preserve"> Without increased investment in education, by 2030 there will be a shortage of 15 million health workers worldwide – double what it is today (</w:t>
      </w:r>
      <w:hyperlink r:id="rId10">
        <w:r w:rsidRPr="00421190">
          <w:rPr>
            <w:rFonts w:ascii="Arial" w:eastAsia="Arial" w:hAnsi="Arial" w:cs="Arial"/>
            <w:color w:val="0000FF"/>
            <w:sz w:val="20"/>
            <w:szCs w:val="20"/>
            <w:u w:val="single"/>
          </w:rPr>
          <w:t>Liu</w:t>
        </w:r>
      </w:hyperlink>
      <w:hyperlink r:id="rId11">
        <w:r w:rsidRPr="00421190">
          <w:rPr>
            <w:rFonts w:ascii="Arial" w:eastAsia="Arial" w:hAnsi="Arial" w:cs="Arial"/>
            <w:color w:val="0000FF"/>
            <w:sz w:val="20"/>
            <w:szCs w:val="20"/>
            <w:u w:val="single"/>
          </w:rPr>
          <w:t xml:space="preserve"> </w:t>
        </w:r>
      </w:hyperlink>
      <w:hyperlink r:id="rId12">
        <w:r w:rsidRPr="00421190">
          <w:rPr>
            <w:rFonts w:ascii="Arial" w:eastAsia="Arial" w:hAnsi="Arial" w:cs="Arial"/>
            <w:color w:val="0000FF"/>
            <w:sz w:val="20"/>
            <w:szCs w:val="20"/>
            <w:u w:val="single"/>
          </w:rPr>
          <w:t>et al.</w:t>
        </w:r>
      </w:hyperlink>
      <w:r w:rsidRPr="00421190">
        <w:rPr>
          <w:rFonts w:ascii="Arial" w:eastAsia="Arial" w:hAnsi="Arial" w:cs="Arial"/>
          <w:sz w:val="20"/>
          <w:szCs w:val="20"/>
        </w:rPr>
        <w:t>, 2017</w:t>
      </w:r>
      <w:r w:rsidRPr="00421190">
        <w:rPr>
          <w:rFonts w:ascii="Arial" w:eastAsia="Arial" w:hAnsi="Arial" w:cs="Arial"/>
          <w:color w:val="000000"/>
          <w:sz w:val="20"/>
          <w:szCs w:val="20"/>
        </w:rPr>
        <w:t xml:space="preserve">). </w:t>
      </w:r>
      <w:r w:rsidRPr="00421190">
        <w:rPr>
          <w:rFonts w:ascii="Arial" w:eastAsia="Arial" w:hAnsi="Arial" w:cs="Arial"/>
          <w:color w:val="000000"/>
          <w:sz w:val="20"/>
          <w:szCs w:val="20"/>
        </w:rPr>
        <w:br/>
      </w:r>
    </w:p>
    <w:p w14:paraId="3D237203" w14:textId="77777777" w:rsidR="009C56F2" w:rsidRPr="00421190" w:rsidRDefault="009C56F2" w:rsidP="009C56F2">
      <w:pPr>
        <w:numPr>
          <w:ilvl w:val="0"/>
          <w:numId w:val="13"/>
        </w:numPr>
        <w:rPr>
          <w:rFonts w:ascii="Arial" w:eastAsia="Arial" w:hAnsi="Arial" w:cs="Arial"/>
          <w:color w:val="000000"/>
          <w:sz w:val="20"/>
          <w:szCs w:val="20"/>
        </w:rPr>
      </w:pPr>
      <w:r w:rsidRPr="00421190">
        <w:rPr>
          <w:rFonts w:ascii="Arial" w:eastAsia="Arial" w:hAnsi="Arial" w:cs="Arial"/>
          <w:b/>
          <w:color w:val="000000"/>
          <w:sz w:val="20"/>
          <w:szCs w:val="20"/>
        </w:rPr>
        <w:t>Educating girls saves lives.</w:t>
      </w:r>
      <w:r w:rsidRPr="00421190">
        <w:rPr>
          <w:rFonts w:ascii="Arial" w:eastAsia="Arial" w:hAnsi="Arial" w:cs="Arial"/>
          <w:color w:val="000000"/>
          <w:sz w:val="20"/>
          <w:szCs w:val="20"/>
        </w:rPr>
        <w:t xml:space="preserve"> Half of the reduction in under-five child mortality over nearly 40 years can be attributed to an increase in girls' education. Educating girls prevented the deaths of more than 30 million children under five and 100 million adults (</w:t>
      </w:r>
      <w:proofErr w:type="spellStart"/>
      <w:r w:rsidRPr="00421190">
        <w:rPr>
          <w:sz w:val="20"/>
          <w:szCs w:val="20"/>
        </w:rPr>
        <w:fldChar w:fldCharType="begin"/>
      </w:r>
      <w:r w:rsidRPr="00421190">
        <w:rPr>
          <w:sz w:val="20"/>
          <w:szCs w:val="20"/>
        </w:rPr>
        <w:instrText xml:space="preserve"> HYPERLINK "https://www.thelancet.com/journals/lancet/article/PIIS0140-6736(10)61257-3/fulltext" \h </w:instrText>
      </w:r>
      <w:r w:rsidRPr="00421190">
        <w:rPr>
          <w:sz w:val="20"/>
          <w:szCs w:val="20"/>
        </w:rPr>
        <w:fldChar w:fldCharType="separate"/>
      </w:r>
      <w:r w:rsidRPr="00421190">
        <w:rPr>
          <w:rFonts w:ascii="Arial" w:eastAsia="Arial" w:hAnsi="Arial" w:cs="Arial"/>
          <w:color w:val="1155CC"/>
          <w:sz w:val="20"/>
          <w:szCs w:val="20"/>
          <w:u w:val="single"/>
        </w:rPr>
        <w:t>Gakidou</w:t>
      </w:r>
      <w:proofErr w:type="spellEnd"/>
      <w:r w:rsidRPr="00421190">
        <w:rPr>
          <w:rFonts w:ascii="Arial" w:eastAsia="Arial" w:hAnsi="Arial" w:cs="Arial"/>
          <w:color w:val="1155CC"/>
          <w:sz w:val="20"/>
          <w:szCs w:val="20"/>
          <w:u w:val="single"/>
        </w:rPr>
        <w:t xml:space="preserve"> et al.</w:t>
      </w:r>
      <w:r w:rsidRPr="00421190">
        <w:rPr>
          <w:rFonts w:ascii="Arial" w:eastAsia="Arial" w:hAnsi="Arial" w:cs="Arial"/>
          <w:color w:val="1155CC"/>
          <w:sz w:val="20"/>
          <w:szCs w:val="20"/>
          <w:u w:val="single"/>
        </w:rPr>
        <w:fldChar w:fldCharType="end"/>
      </w:r>
      <w:r w:rsidRPr="00421190">
        <w:rPr>
          <w:rFonts w:ascii="Arial" w:eastAsia="Arial" w:hAnsi="Arial" w:cs="Arial"/>
          <w:color w:val="000000"/>
          <w:sz w:val="20"/>
          <w:szCs w:val="20"/>
        </w:rPr>
        <w:t xml:space="preserve">, 2010; </w:t>
      </w:r>
      <w:hyperlink r:id="rId13">
        <w:r w:rsidRPr="00421190">
          <w:rPr>
            <w:rFonts w:ascii="Arial" w:eastAsia="Arial" w:hAnsi="Arial" w:cs="Arial"/>
            <w:color w:val="1155CC"/>
            <w:sz w:val="20"/>
            <w:szCs w:val="20"/>
            <w:u w:val="single"/>
          </w:rPr>
          <w:t>International Commission on Financing Global Education Opportunity</w:t>
        </w:r>
      </w:hyperlink>
      <w:r w:rsidRPr="00421190">
        <w:rPr>
          <w:rFonts w:ascii="Arial" w:eastAsia="Arial" w:hAnsi="Arial" w:cs="Arial"/>
          <w:color w:val="000000"/>
          <w:sz w:val="20"/>
          <w:szCs w:val="20"/>
        </w:rPr>
        <w:t>, 2016).</w:t>
      </w:r>
      <w:r w:rsidRPr="00421190">
        <w:rPr>
          <w:rFonts w:ascii="Arial" w:eastAsia="Arial" w:hAnsi="Arial" w:cs="Arial"/>
          <w:color w:val="000000"/>
          <w:sz w:val="20"/>
          <w:szCs w:val="20"/>
        </w:rPr>
        <w:br/>
      </w:r>
    </w:p>
    <w:p w14:paraId="13D9B97B" w14:textId="77777777" w:rsidR="009C56F2" w:rsidRPr="00421190" w:rsidRDefault="009C56F2" w:rsidP="009C56F2">
      <w:pPr>
        <w:numPr>
          <w:ilvl w:val="0"/>
          <w:numId w:val="13"/>
        </w:numPr>
        <w:rPr>
          <w:rFonts w:ascii="Arial" w:eastAsia="Arial" w:hAnsi="Arial" w:cs="Arial"/>
          <w:color w:val="000000"/>
          <w:sz w:val="20"/>
          <w:szCs w:val="20"/>
        </w:rPr>
      </w:pPr>
      <w:r w:rsidRPr="00421190">
        <w:rPr>
          <w:rFonts w:ascii="Arial" w:eastAsia="Arial" w:hAnsi="Arial" w:cs="Arial"/>
          <w:b/>
          <w:color w:val="000000"/>
          <w:sz w:val="20"/>
          <w:szCs w:val="20"/>
        </w:rPr>
        <w:t xml:space="preserve">Educated women have a better understanding of healthy </w:t>
      </w:r>
      <w:proofErr w:type="spellStart"/>
      <w:r w:rsidRPr="00421190">
        <w:rPr>
          <w:rFonts w:ascii="Arial" w:eastAsia="Arial" w:hAnsi="Arial" w:cs="Arial"/>
          <w:b/>
          <w:color w:val="000000"/>
          <w:sz w:val="20"/>
          <w:szCs w:val="20"/>
        </w:rPr>
        <w:t>behaviour</w:t>
      </w:r>
      <w:proofErr w:type="spellEnd"/>
      <w:r w:rsidRPr="00421190">
        <w:rPr>
          <w:rFonts w:ascii="Arial" w:eastAsia="Arial" w:hAnsi="Arial" w:cs="Arial"/>
          <w:b/>
          <w:color w:val="000000"/>
          <w:sz w:val="20"/>
          <w:szCs w:val="20"/>
        </w:rPr>
        <w:t xml:space="preserve"> for themselves and for their children and are more likely to visit a healthcare professional for care.</w:t>
      </w:r>
      <w:r w:rsidRPr="00421190">
        <w:rPr>
          <w:rFonts w:ascii="Arial" w:eastAsia="Arial" w:hAnsi="Arial" w:cs="Arial"/>
          <w:color w:val="000000"/>
          <w:sz w:val="20"/>
          <w:szCs w:val="20"/>
        </w:rPr>
        <w:t xml:space="preserve"> If all women completed primary education, maternal mortality in sub-Saharan Africa would fall by 70% (</w:t>
      </w:r>
      <w:hyperlink r:id="rId14">
        <w:r w:rsidRPr="00421190">
          <w:rPr>
            <w:rFonts w:ascii="Arial" w:eastAsia="Arial" w:hAnsi="Arial" w:cs="Arial"/>
            <w:color w:val="1155CC"/>
            <w:sz w:val="20"/>
            <w:szCs w:val="20"/>
            <w:u w:val="single"/>
          </w:rPr>
          <w:t>UNICEF</w:t>
        </w:r>
      </w:hyperlink>
      <w:r w:rsidRPr="00421190">
        <w:rPr>
          <w:rFonts w:ascii="Arial" w:eastAsia="Arial" w:hAnsi="Arial" w:cs="Arial"/>
          <w:color w:val="000000"/>
          <w:sz w:val="20"/>
          <w:szCs w:val="20"/>
        </w:rPr>
        <w:t xml:space="preserve">, 2015); </w:t>
      </w:r>
      <w:hyperlink r:id="rId15">
        <w:r w:rsidRPr="00421190">
          <w:rPr>
            <w:rFonts w:ascii="Arial" w:eastAsia="Arial" w:hAnsi="Arial" w:cs="Arial"/>
            <w:color w:val="1155CC"/>
            <w:sz w:val="20"/>
            <w:szCs w:val="20"/>
            <w:u w:val="single"/>
          </w:rPr>
          <w:t>EFA GMR</w:t>
        </w:r>
      </w:hyperlink>
      <w:r w:rsidRPr="00421190">
        <w:rPr>
          <w:rFonts w:ascii="Arial" w:eastAsia="Arial" w:hAnsi="Arial" w:cs="Arial"/>
          <w:color w:val="000000"/>
          <w:sz w:val="20"/>
          <w:szCs w:val="20"/>
        </w:rPr>
        <w:t>, 2014).</w:t>
      </w:r>
      <w:r w:rsidRPr="00421190">
        <w:rPr>
          <w:rFonts w:ascii="Arial" w:eastAsia="Arial" w:hAnsi="Arial" w:cs="Arial"/>
          <w:color w:val="000000"/>
          <w:sz w:val="20"/>
          <w:szCs w:val="20"/>
        </w:rPr>
        <w:br/>
      </w:r>
    </w:p>
    <w:p w14:paraId="22AD55BD" w14:textId="77777777" w:rsidR="009C56F2" w:rsidRPr="00421190" w:rsidRDefault="009C56F2" w:rsidP="009C56F2">
      <w:pPr>
        <w:numPr>
          <w:ilvl w:val="0"/>
          <w:numId w:val="13"/>
        </w:numPr>
        <w:rPr>
          <w:rFonts w:ascii="Arial" w:eastAsia="Arial" w:hAnsi="Arial" w:cs="Arial"/>
          <w:color w:val="000000"/>
          <w:sz w:val="20"/>
          <w:szCs w:val="20"/>
        </w:rPr>
      </w:pPr>
      <w:r w:rsidRPr="00421190">
        <w:rPr>
          <w:rFonts w:ascii="Arial" w:eastAsia="Arial" w:hAnsi="Arial" w:cs="Arial"/>
          <w:b/>
          <w:color w:val="000000"/>
          <w:sz w:val="20"/>
          <w:szCs w:val="20"/>
        </w:rPr>
        <w:t>A marginal increase in education yields maximal decreases in pneumonia cases, the leading cause of child death worldwide.</w:t>
      </w:r>
      <w:r w:rsidRPr="00421190">
        <w:rPr>
          <w:rFonts w:ascii="Arial" w:eastAsia="Arial" w:hAnsi="Arial" w:cs="Arial"/>
          <w:color w:val="000000"/>
          <w:sz w:val="20"/>
          <w:szCs w:val="20"/>
        </w:rPr>
        <w:t xml:space="preserve"> One additional year of maternal education reduces the pneumonia death rate by 14%, saving 160,000 child lives every year (</w:t>
      </w:r>
      <w:hyperlink r:id="rId16">
        <w:r w:rsidRPr="00421190">
          <w:rPr>
            <w:rFonts w:ascii="Arial" w:eastAsia="Arial" w:hAnsi="Arial" w:cs="Arial"/>
            <w:color w:val="1155CC"/>
            <w:sz w:val="20"/>
            <w:szCs w:val="20"/>
            <w:u w:val="single"/>
          </w:rPr>
          <w:t>EFA GMR</w:t>
        </w:r>
      </w:hyperlink>
      <w:r w:rsidRPr="00421190">
        <w:rPr>
          <w:rFonts w:ascii="Arial" w:eastAsia="Arial" w:hAnsi="Arial" w:cs="Arial"/>
          <w:color w:val="000000"/>
          <w:sz w:val="20"/>
          <w:szCs w:val="20"/>
        </w:rPr>
        <w:t>, 2014).</w:t>
      </w:r>
      <w:r w:rsidRPr="00421190">
        <w:rPr>
          <w:rFonts w:ascii="Arial" w:eastAsia="Arial" w:hAnsi="Arial" w:cs="Arial"/>
          <w:color w:val="000000"/>
          <w:sz w:val="20"/>
          <w:szCs w:val="20"/>
        </w:rPr>
        <w:br/>
      </w:r>
    </w:p>
    <w:p w14:paraId="6EBEF405" w14:textId="77777777" w:rsidR="009C56F2" w:rsidRPr="00421190" w:rsidRDefault="009C56F2" w:rsidP="009C56F2">
      <w:pPr>
        <w:numPr>
          <w:ilvl w:val="0"/>
          <w:numId w:val="13"/>
        </w:numPr>
        <w:rPr>
          <w:rFonts w:ascii="Arial" w:eastAsia="Arial" w:hAnsi="Arial" w:cs="Arial"/>
          <w:color w:val="000000"/>
          <w:sz w:val="20"/>
          <w:szCs w:val="20"/>
        </w:rPr>
      </w:pPr>
      <w:r w:rsidRPr="00421190">
        <w:rPr>
          <w:rFonts w:ascii="Arial" w:eastAsia="Arial" w:hAnsi="Arial" w:cs="Arial"/>
          <w:b/>
          <w:color w:val="000000"/>
          <w:sz w:val="20"/>
          <w:szCs w:val="20"/>
        </w:rPr>
        <w:lastRenderedPageBreak/>
        <w:t xml:space="preserve">Investing in education delivers impressive and lasting health returns to society. </w:t>
      </w:r>
      <w:r w:rsidRPr="00421190">
        <w:rPr>
          <w:rFonts w:ascii="Arial" w:eastAsia="Arial" w:hAnsi="Arial" w:cs="Arial"/>
          <w:color w:val="000000"/>
          <w:sz w:val="20"/>
          <w:szCs w:val="20"/>
        </w:rPr>
        <w:t>Each US dollar invested in a one-year increase in schooling generates a health-inclusive benefit of US$10 in low-income countries (</w:t>
      </w:r>
      <w:hyperlink r:id="rId17">
        <w:r w:rsidRPr="00421190">
          <w:rPr>
            <w:rFonts w:ascii="Arial" w:eastAsia="Arial" w:hAnsi="Arial" w:cs="Arial"/>
            <w:color w:val="1155CC"/>
            <w:sz w:val="20"/>
            <w:szCs w:val="20"/>
            <w:u w:val="single"/>
          </w:rPr>
          <w:t xml:space="preserve">Jamison &amp; </w:t>
        </w:r>
        <w:proofErr w:type="spellStart"/>
        <w:r w:rsidRPr="00421190">
          <w:rPr>
            <w:rFonts w:ascii="Arial" w:eastAsia="Arial" w:hAnsi="Arial" w:cs="Arial"/>
            <w:color w:val="1155CC"/>
            <w:sz w:val="20"/>
            <w:szCs w:val="20"/>
            <w:u w:val="single"/>
          </w:rPr>
          <w:t>Schaferhoff</w:t>
        </w:r>
        <w:proofErr w:type="spellEnd"/>
      </w:hyperlink>
      <w:r w:rsidRPr="00421190">
        <w:rPr>
          <w:rFonts w:ascii="Arial" w:eastAsia="Arial" w:hAnsi="Arial" w:cs="Arial"/>
          <w:color w:val="000000"/>
          <w:sz w:val="20"/>
          <w:szCs w:val="20"/>
        </w:rPr>
        <w:t>, 2016). </w:t>
      </w:r>
      <w:r w:rsidRPr="00421190">
        <w:rPr>
          <w:rFonts w:ascii="Arial" w:eastAsia="Arial" w:hAnsi="Arial" w:cs="Arial"/>
          <w:color w:val="000000"/>
          <w:sz w:val="20"/>
          <w:szCs w:val="20"/>
        </w:rPr>
        <w:br/>
      </w:r>
    </w:p>
    <w:p w14:paraId="2EA46525" w14:textId="77777777" w:rsidR="009C56F2" w:rsidRPr="00421190" w:rsidRDefault="009C56F2" w:rsidP="009C56F2">
      <w:pPr>
        <w:numPr>
          <w:ilvl w:val="0"/>
          <w:numId w:val="13"/>
        </w:numPr>
        <w:rPr>
          <w:rFonts w:ascii="Arial" w:eastAsia="Arial" w:hAnsi="Arial" w:cs="Arial"/>
          <w:color w:val="000000"/>
          <w:sz w:val="20"/>
          <w:szCs w:val="20"/>
        </w:rPr>
      </w:pPr>
      <w:r w:rsidRPr="00421190">
        <w:rPr>
          <w:rFonts w:ascii="Arial" w:eastAsia="Arial" w:hAnsi="Arial" w:cs="Arial"/>
          <w:b/>
          <w:color w:val="000000"/>
          <w:sz w:val="20"/>
          <w:szCs w:val="20"/>
        </w:rPr>
        <w:t>The child of an educated parent is more likely to access malaria prevention and treatment services and survive childhood.</w:t>
      </w:r>
      <w:r w:rsidRPr="00421190">
        <w:rPr>
          <w:rFonts w:ascii="Arial" w:eastAsia="Arial" w:hAnsi="Arial" w:cs="Arial"/>
          <w:color w:val="000000"/>
          <w:sz w:val="20"/>
          <w:szCs w:val="20"/>
        </w:rPr>
        <w:t xml:space="preserve"> In the Democratic Republic of the Congo — where 20% of the world’s malaria-related deaths occur — the probability of using a bed net increased by 75% if the head of household had completed primary education. 50% of preventable school absenteeism in Africa can be attributed to malaria (</w:t>
      </w:r>
      <w:proofErr w:type="spellStart"/>
      <w:r w:rsidRPr="00421190">
        <w:rPr>
          <w:sz w:val="20"/>
          <w:szCs w:val="20"/>
        </w:rPr>
        <w:fldChar w:fldCharType="begin"/>
      </w:r>
      <w:r w:rsidRPr="00421190">
        <w:rPr>
          <w:sz w:val="20"/>
          <w:szCs w:val="20"/>
        </w:rPr>
        <w:instrText xml:space="preserve"> HYPERLINK "https://malariajournal.biomedcentral.com/articles/10.1186/1475-2875-9-279" \h </w:instrText>
      </w:r>
      <w:r w:rsidRPr="00421190">
        <w:rPr>
          <w:sz w:val="20"/>
          <w:szCs w:val="20"/>
        </w:rPr>
        <w:fldChar w:fldCharType="separate"/>
      </w:r>
      <w:r w:rsidRPr="00421190">
        <w:rPr>
          <w:rFonts w:ascii="Arial" w:eastAsia="Arial" w:hAnsi="Arial" w:cs="Arial"/>
          <w:color w:val="1155CC"/>
          <w:sz w:val="20"/>
          <w:szCs w:val="20"/>
          <w:u w:val="single"/>
        </w:rPr>
        <w:t>Ndjinga</w:t>
      </w:r>
      <w:proofErr w:type="spellEnd"/>
      <w:r w:rsidRPr="00421190">
        <w:rPr>
          <w:rFonts w:ascii="Arial" w:eastAsia="Arial" w:hAnsi="Arial" w:cs="Arial"/>
          <w:color w:val="1155CC"/>
          <w:sz w:val="20"/>
          <w:szCs w:val="20"/>
          <w:u w:val="single"/>
        </w:rPr>
        <w:t xml:space="preserve"> &amp; </w:t>
      </w:r>
      <w:proofErr w:type="spellStart"/>
      <w:r w:rsidRPr="00421190">
        <w:rPr>
          <w:rFonts w:ascii="Arial" w:eastAsia="Arial" w:hAnsi="Arial" w:cs="Arial"/>
          <w:color w:val="1155CC"/>
          <w:sz w:val="20"/>
          <w:szCs w:val="20"/>
          <w:u w:val="single"/>
        </w:rPr>
        <w:t>Minakawa</w:t>
      </w:r>
      <w:proofErr w:type="spellEnd"/>
      <w:r w:rsidRPr="00421190">
        <w:rPr>
          <w:rFonts w:ascii="Arial" w:eastAsia="Arial" w:hAnsi="Arial" w:cs="Arial"/>
          <w:color w:val="1155CC"/>
          <w:sz w:val="20"/>
          <w:szCs w:val="20"/>
          <w:u w:val="single"/>
        </w:rPr>
        <w:fldChar w:fldCharType="end"/>
      </w:r>
      <w:r w:rsidRPr="00421190">
        <w:rPr>
          <w:rFonts w:ascii="Arial" w:eastAsia="Arial" w:hAnsi="Arial" w:cs="Arial"/>
          <w:color w:val="000000"/>
          <w:sz w:val="20"/>
          <w:szCs w:val="20"/>
        </w:rPr>
        <w:t xml:space="preserve">, 2010; </w:t>
      </w:r>
      <w:hyperlink r:id="rId18">
        <w:r w:rsidRPr="00421190">
          <w:rPr>
            <w:rFonts w:ascii="Arial" w:eastAsia="Arial" w:hAnsi="Arial" w:cs="Arial"/>
            <w:color w:val="1155CC"/>
            <w:sz w:val="20"/>
            <w:szCs w:val="20"/>
            <w:u w:val="single"/>
          </w:rPr>
          <w:t>Malaria No More</w:t>
        </w:r>
      </w:hyperlink>
      <w:r w:rsidRPr="00421190">
        <w:rPr>
          <w:rFonts w:ascii="Arial" w:eastAsia="Arial" w:hAnsi="Arial" w:cs="Arial"/>
          <w:color w:val="000000"/>
          <w:sz w:val="20"/>
          <w:szCs w:val="20"/>
        </w:rPr>
        <w:t>, 2020).</w:t>
      </w:r>
    </w:p>
    <w:p w14:paraId="73C903B2" w14:textId="77777777" w:rsidR="009C56F2" w:rsidRPr="00421190" w:rsidRDefault="009C56F2" w:rsidP="009C56F2">
      <w:pPr>
        <w:rPr>
          <w:rFonts w:ascii="Arial" w:eastAsia="Arial" w:hAnsi="Arial" w:cs="Arial"/>
          <w:sz w:val="20"/>
          <w:szCs w:val="20"/>
        </w:rPr>
      </w:pPr>
    </w:p>
    <w:p w14:paraId="019FB9E8" w14:textId="77777777" w:rsidR="009C56F2" w:rsidRPr="00421190" w:rsidRDefault="009C56F2" w:rsidP="009C56F2">
      <w:pPr>
        <w:numPr>
          <w:ilvl w:val="0"/>
          <w:numId w:val="13"/>
        </w:numPr>
        <w:rPr>
          <w:rFonts w:ascii="Arial" w:eastAsia="Arial" w:hAnsi="Arial" w:cs="Arial"/>
          <w:sz w:val="20"/>
          <w:szCs w:val="20"/>
        </w:rPr>
      </w:pPr>
      <w:r w:rsidRPr="00421190">
        <w:rPr>
          <w:rFonts w:ascii="Arial" w:eastAsia="Arial" w:hAnsi="Arial" w:cs="Arial"/>
          <w:b/>
          <w:sz w:val="20"/>
          <w:szCs w:val="20"/>
        </w:rPr>
        <w:t xml:space="preserve">Education is a cost-effective tool for preventing HIV transmission, providing the knowledge to reduce the risk of infection. </w:t>
      </w:r>
      <w:r w:rsidRPr="00421190">
        <w:rPr>
          <w:rFonts w:ascii="Arial" w:eastAsia="Arial" w:hAnsi="Arial" w:cs="Arial"/>
          <w:sz w:val="20"/>
          <w:szCs w:val="20"/>
        </w:rPr>
        <w:t>If all young adults completed primary education, there would be seven million fewer new cases of HIV per decade. Girls out of school are three times more likely to be infected with HIV than those in school. Staying in secondary school can reduce HIV infection rates by as much as 60% (</w:t>
      </w:r>
      <w:hyperlink r:id="rId19">
        <w:r w:rsidRPr="00421190">
          <w:rPr>
            <w:rFonts w:ascii="Arial" w:eastAsia="Arial" w:hAnsi="Arial" w:cs="Arial"/>
            <w:color w:val="1155CC"/>
            <w:sz w:val="20"/>
            <w:szCs w:val="20"/>
            <w:u w:val="single"/>
          </w:rPr>
          <w:t>Malala Fund</w:t>
        </w:r>
      </w:hyperlink>
      <w:r w:rsidRPr="00421190">
        <w:rPr>
          <w:rFonts w:ascii="Arial" w:eastAsia="Arial" w:hAnsi="Arial" w:cs="Arial"/>
          <w:sz w:val="20"/>
          <w:szCs w:val="20"/>
        </w:rPr>
        <w:t xml:space="preserve">, 2015; </w:t>
      </w:r>
      <w:hyperlink r:id="rId20">
        <w:proofErr w:type="spellStart"/>
        <w:r w:rsidRPr="00421190">
          <w:rPr>
            <w:rFonts w:ascii="Arial" w:eastAsia="Arial" w:hAnsi="Arial" w:cs="Arial"/>
            <w:color w:val="1155CC"/>
            <w:sz w:val="20"/>
            <w:szCs w:val="20"/>
            <w:u w:val="single"/>
          </w:rPr>
          <w:t>Grepin</w:t>
        </w:r>
        <w:proofErr w:type="spellEnd"/>
        <w:r w:rsidRPr="00421190">
          <w:rPr>
            <w:rFonts w:ascii="Arial" w:eastAsia="Arial" w:hAnsi="Arial" w:cs="Arial"/>
            <w:color w:val="1155CC"/>
            <w:sz w:val="20"/>
            <w:szCs w:val="20"/>
            <w:u w:val="single"/>
          </w:rPr>
          <w:t xml:space="preserve"> &amp; Bharadwaj</w:t>
        </w:r>
      </w:hyperlink>
      <w:r w:rsidRPr="00421190">
        <w:rPr>
          <w:rFonts w:ascii="Arial" w:eastAsia="Arial" w:hAnsi="Arial" w:cs="Arial"/>
          <w:sz w:val="20"/>
          <w:szCs w:val="20"/>
        </w:rPr>
        <w:t xml:space="preserve">, 2015; </w:t>
      </w:r>
      <w:hyperlink r:id="rId21">
        <w:r w:rsidRPr="00421190">
          <w:rPr>
            <w:rFonts w:ascii="Arial" w:eastAsia="Arial" w:hAnsi="Arial" w:cs="Arial"/>
            <w:color w:val="1155CC"/>
            <w:sz w:val="20"/>
            <w:szCs w:val="20"/>
            <w:u w:val="single"/>
          </w:rPr>
          <w:t>De Neve et al.</w:t>
        </w:r>
      </w:hyperlink>
      <w:r w:rsidRPr="00421190">
        <w:rPr>
          <w:rFonts w:ascii="Arial" w:eastAsia="Arial" w:hAnsi="Arial" w:cs="Arial"/>
          <w:sz w:val="20"/>
          <w:szCs w:val="20"/>
        </w:rPr>
        <w:t>, 2015).</w:t>
      </w:r>
    </w:p>
    <w:p w14:paraId="67AB9EAB" w14:textId="77777777" w:rsidR="009C56F2" w:rsidRPr="00421190" w:rsidRDefault="009C56F2" w:rsidP="009C56F2">
      <w:pPr>
        <w:ind w:left="720"/>
        <w:rPr>
          <w:rFonts w:ascii="Arial" w:eastAsia="Arial" w:hAnsi="Arial" w:cs="Arial"/>
          <w:b/>
          <w:sz w:val="20"/>
          <w:szCs w:val="20"/>
        </w:rPr>
      </w:pPr>
    </w:p>
    <w:p w14:paraId="3DF2F877" w14:textId="77777777" w:rsidR="009C56F2" w:rsidRPr="00421190" w:rsidRDefault="009C56F2" w:rsidP="009C56F2">
      <w:pPr>
        <w:numPr>
          <w:ilvl w:val="0"/>
          <w:numId w:val="13"/>
        </w:numPr>
        <w:rPr>
          <w:rFonts w:ascii="Arial" w:eastAsia="Arial" w:hAnsi="Arial" w:cs="Arial"/>
          <w:color w:val="000000"/>
          <w:sz w:val="20"/>
          <w:szCs w:val="20"/>
        </w:rPr>
      </w:pPr>
      <w:r w:rsidRPr="00421190">
        <w:rPr>
          <w:rFonts w:ascii="Arial" w:eastAsia="Arial" w:hAnsi="Arial" w:cs="Arial"/>
          <w:b/>
          <w:color w:val="000000"/>
          <w:sz w:val="20"/>
          <w:szCs w:val="20"/>
        </w:rPr>
        <w:t>Girls</w:t>
      </w:r>
      <w:r w:rsidRPr="00421190">
        <w:rPr>
          <w:rFonts w:ascii="Arial" w:eastAsia="Arial" w:hAnsi="Arial" w:cs="Arial"/>
          <w:b/>
          <w:sz w:val="20"/>
          <w:szCs w:val="20"/>
        </w:rPr>
        <w:t>’</w:t>
      </w:r>
      <w:r w:rsidRPr="00421190">
        <w:rPr>
          <w:rFonts w:ascii="Arial" w:eastAsia="Arial" w:hAnsi="Arial" w:cs="Arial"/>
          <w:b/>
          <w:color w:val="000000"/>
          <w:sz w:val="20"/>
          <w:szCs w:val="20"/>
        </w:rPr>
        <w:t xml:space="preserve"> education saves lives.</w:t>
      </w:r>
      <w:r w:rsidRPr="00421190">
        <w:rPr>
          <w:rFonts w:ascii="Arial" w:eastAsia="Arial" w:hAnsi="Arial" w:cs="Arial"/>
          <w:color w:val="000000"/>
          <w:sz w:val="20"/>
          <w:szCs w:val="20"/>
        </w:rPr>
        <w:t xml:space="preserve"> Around one-third of the reductions in adult mortality and nearly 15</w:t>
      </w:r>
      <w:r w:rsidRPr="00421190">
        <w:rPr>
          <w:rFonts w:ascii="Arial" w:eastAsia="Arial" w:hAnsi="Arial" w:cs="Arial"/>
          <w:sz w:val="20"/>
          <w:szCs w:val="20"/>
        </w:rPr>
        <w:t xml:space="preserve">% </w:t>
      </w:r>
      <w:r w:rsidRPr="00421190">
        <w:rPr>
          <w:rFonts w:ascii="Arial" w:eastAsia="Arial" w:hAnsi="Arial" w:cs="Arial"/>
          <w:color w:val="000000"/>
          <w:sz w:val="20"/>
          <w:szCs w:val="20"/>
        </w:rPr>
        <w:t>of the reductions in infant mortality from 1970 to 2010 can be attributed to gains in female schooling (</w:t>
      </w:r>
      <w:hyperlink r:id="rId22">
        <w:r w:rsidRPr="00421190">
          <w:rPr>
            <w:rFonts w:ascii="Arial" w:eastAsia="Arial" w:hAnsi="Arial" w:cs="Arial"/>
            <w:color w:val="1155CC"/>
            <w:sz w:val="20"/>
            <w:szCs w:val="20"/>
            <w:u w:val="single"/>
          </w:rPr>
          <w:t xml:space="preserve">Jamison &amp; </w:t>
        </w:r>
        <w:proofErr w:type="spellStart"/>
        <w:r w:rsidRPr="00421190">
          <w:rPr>
            <w:rFonts w:ascii="Arial" w:eastAsia="Arial" w:hAnsi="Arial" w:cs="Arial"/>
            <w:color w:val="1155CC"/>
            <w:sz w:val="20"/>
            <w:szCs w:val="20"/>
            <w:u w:val="single"/>
          </w:rPr>
          <w:t>Schaferhoff</w:t>
        </w:r>
        <w:proofErr w:type="spellEnd"/>
      </w:hyperlink>
      <w:r w:rsidRPr="00421190">
        <w:rPr>
          <w:rFonts w:ascii="Arial" w:eastAsia="Arial" w:hAnsi="Arial" w:cs="Arial"/>
          <w:color w:val="000000"/>
          <w:sz w:val="20"/>
          <w:szCs w:val="20"/>
        </w:rPr>
        <w:t>, 2016).</w:t>
      </w:r>
      <w:r w:rsidRPr="00421190">
        <w:rPr>
          <w:rFonts w:ascii="Arial" w:eastAsia="Arial" w:hAnsi="Arial" w:cs="Arial"/>
          <w:color w:val="000000"/>
          <w:sz w:val="20"/>
          <w:szCs w:val="20"/>
        </w:rPr>
        <w:br/>
      </w:r>
    </w:p>
    <w:p w14:paraId="2D32B337" w14:textId="77777777" w:rsidR="009C56F2" w:rsidRPr="00421190" w:rsidRDefault="009C56F2" w:rsidP="009C56F2">
      <w:pPr>
        <w:numPr>
          <w:ilvl w:val="0"/>
          <w:numId w:val="14"/>
        </w:numPr>
        <w:rPr>
          <w:rFonts w:ascii="Arial" w:eastAsia="Arial" w:hAnsi="Arial" w:cs="Arial"/>
          <w:color w:val="000000"/>
          <w:sz w:val="20"/>
          <w:szCs w:val="20"/>
        </w:rPr>
      </w:pPr>
      <w:r w:rsidRPr="00421190">
        <w:rPr>
          <w:rFonts w:ascii="Arial" w:eastAsia="Arial" w:hAnsi="Arial" w:cs="Arial"/>
          <w:b/>
          <w:color w:val="000000"/>
          <w:sz w:val="20"/>
          <w:szCs w:val="20"/>
        </w:rPr>
        <w:t>Good health promotes learning.</w:t>
      </w:r>
      <w:r w:rsidRPr="00421190">
        <w:rPr>
          <w:rFonts w:ascii="Arial" w:eastAsia="Arial" w:hAnsi="Arial" w:cs="Arial"/>
          <w:color w:val="000000"/>
          <w:sz w:val="20"/>
          <w:szCs w:val="20"/>
        </w:rPr>
        <w:t xml:space="preserve"> In developing countries an estimated 500 million days of school per year are lost due to sickness (</w:t>
      </w:r>
      <w:hyperlink r:id="rId23">
        <w:r w:rsidRPr="00421190">
          <w:rPr>
            <w:rFonts w:ascii="Arial" w:eastAsia="Arial" w:hAnsi="Arial" w:cs="Arial"/>
            <w:color w:val="1155CC"/>
            <w:sz w:val="20"/>
            <w:szCs w:val="20"/>
            <w:u w:val="single"/>
          </w:rPr>
          <w:t>World Bank</w:t>
        </w:r>
      </w:hyperlink>
      <w:r w:rsidRPr="00421190">
        <w:rPr>
          <w:rFonts w:ascii="Arial" w:eastAsia="Arial" w:hAnsi="Arial" w:cs="Arial"/>
          <w:color w:val="000000"/>
          <w:sz w:val="20"/>
          <w:szCs w:val="20"/>
        </w:rPr>
        <w:t>, 2018).</w:t>
      </w:r>
    </w:p>
    <w:p w14:paraId="7C9D5EF4" w14:textId="77777777" w:rsidR="00997C75" w:rsidRDefault="00997C75" w:rsidP="00562573">
      <w:pPr>
        <w:spacing w:after="120"/>
        <w:rPr>
          <w:rFonts w:ascii="Arial" w:eastAsia="Arial" w:hAnsi="Arial" w:cs="Arial"/>
          <w:color w:val="2A2A2A"/>
          <w:sz w:val="20"/>
          <w:szCs w:val="20"/>
        </w:rPr>
      </w:pPr>
    </w:p>
    <w:p w14:paraId="0C3BAFB0" w14:textId="77777777" w:rsidR="0042053E" w:rsidRPr="009C56F2" w:rsidRDefault="0042053E" w:rsidP="0042053E">
      <w:pPr>
        <w:rPr>
          <w:rFonts w:ascii="Arial" w:eastAsia="Arial" w:hAnsi="Arial" w:cs="Arial"/>
          <w:b/>
          <w:color w:val="00A19A"/>
        </w:rPr>
      </w:pPr>
      <w:r w:rsidRPr="009C56F2">
        <w:rPr>
          <w:rFonts w:ascii="Arial" w:eastAsia="Arial" w:hAnsi="Arial" w:cs="Arial"/>
          <w:b/>
          <w:color w:val="00A19A"/>
        </w:rPr>
        <w:t>Key Talking Points</w:t>
      </w:r>
    </w:p>
    <w:p w14:paraId="209D0454" w14:textId="77777777" w:rsidR="009C56F2" w:rsidRPr="00421190" w:rsidRDefault="009C56F2" w:rsidP="009C56F2">
      <w:pPr>
        <w:numPr>
          <w:ilvl w:val="0"/>
          <w:numId w:val="12"/>
        </w:numPr>
        <w:spacing w:before="240"/>
        <w:rPr>
          <w:rFonts w:ascii="Arial" w:eastAsia="Arial" w:hAnsi="Arial" w:cs="Arial"/>
          <w:color w:val="000000"/>
          <w:sz w:val="20"/>
          <w:szCs w:val="20"/>
        </w:rPr>
      </w:pPr>
      <w:r w:rsidRPr="00421190">
        <w:rPr>
          <w:rFonts w:ascii="Arial" w:eastAsia="Arial" w:hAnsi="Arial" w:cs="Arial"/>
          <w:color w:val="000000"/>
          <w:sz w:val="20"/>
          <w:szCs w:val="20"/>
        </w:rPr>
        <w:t xml:space="preserve">Investing in health without investing in education is a non-starter. </w:t>
      </w:r>
    </w:p>
    <w:p w14:paraId="42BBCF26" w14:textId="77777777" w:rsidR="009C56F2" w:rsidRPr="00421190" w:rsidRDefault="009C56F2" w:rsidP="009C56F2">
      <w:pPr>
        <w:numPr>
          <w:ilvl w:val="0"/>
          <w:numId w:val="12"/>
        </w:numPr>
        <w:spacing w:before="240"/>
        <w:rPr>
          <w:rFonts w:ascii="Arial" w:eastAsia="Arial" w:hAnsi="Arial" w:cs="Arial"/>
          <w:color w:val="000000"/>
          <w:sz w:val="20"/>
          <w:szCs w:val="20"/>
        </w:rPr>
      </w:pPr>
      <w:r w:rsidRPr="00421190">
        <w:rPr>
          <w:rFonts w:ascii="Arial" w:eastAsia="Arial" w:hAnsi="Arial" w:cs="Arial"/>
          <w:color w:val="000000"/>
          <w:sz w:val="20"/>
          <w:szCs w:val="20"/>
        </w:rPr>
        <w:t xml:space="preserve">Access to education improves health outcomes for individuals, families, and communities while better health improves an individual's chances </w:t>
      </w:r>
      <w:r w:rsidRPr="00421190">
        <w:rPr>
          <w:rFonts w:ascii="Arial" w:eastAsia="Arial" w:hAnsi="Arial" w:cs="Arial"/>
          <w:sz w:val="20"/>
          <w:szCs w:val="20"/>
        </w:rPr>
        <w:t>of</w:t>
      </w:r>
      <w:r w:rsidRPr="00421190">
        <w:rPr>
          <w:rFonts w:ascii="Arial" w:eastAsia="Arial" w:hAnsi="Arial" w:cs="Arial"/>
          <w:color w:val="000000"/>
          <w:sz w:val="20"/>
          <w:szCs w:val="20"/>
        </w:rPr>
        <w:t xml:space="preserve"> being educated. </w:t>
      </w:r>
    </w:p>
    <w:p w14:paraId="3A06CD55" w14:textId="77777777" w:rsidR="009C56F2" w:rsidRPr="00421190" w:rsidRDefault="009C56F2" w:rsidP="009C56F2">
      <w:pPr>
        <w:numPr>
          <w:ilvl w:val="0"/>
          <w:numId w:val="12"/>
        </w:numPr>
        <w:spacing w:before="240"/>
        <w:rPr>
          <w:rFonts w:ascii="Arial" w:eastAsia="Arial" w:hAnsi="Arial" w:cs="Arial"/>
          <w:color w:val="000000"/>
          <w:sz w:val="20"/>
          <w:szCs w:val="20"/>
        </w:rPr>
      </w:pPr>
      <w:r w:rsidRPr="00421190">
        <w:rPr>
          <w:rFonts w:ascii="Arial" w:eastAsia="Arial" w:hAnsi="Arial" w:cs="Arial"/>
          <w:color w:val="000000"/>
          <w:sz w:val="20"/>
          <w:szCs w:val="20"/>
        </w:rPr>
        <w:t>Addressing health and education together is important, since the benefits are mutually reinforcing. Quality education, especially for girls, means individuals can better look after their own health and that of their children.</w:t>
      </w:r>
    </w:p>
    <w:p w14:paraId="31FFF844" w14:textId="77777777" w:rsidR="009C56F2" w:rsidRPr="00421190" w:rsidRDefault="009C56F2" w:rsidP="009C56F2">
      <w:pPr>
        <w:numPr>
          <w:ilvl w:val="0"/>
          <w:numId w:val="12"/>
        </w:numPr>
        <w:spacing w:before="240"/>
        <w:rPr>
          <w:rFonts w:ascii="Arial" w:eastAsia="Arial" w:hAnsi="Arial" w:cs="Arial"/>
          <w:color w:val="000000"/>
          <w:sz w:val="20"/>
          <w:szCs w:val="20"/>
        </w:rPr>
      </w:pPr>
      <w:r w:rsidRPr="00421190">
        <w:rPr>
          <w:rFonts w:ascii="Arial" w:eastAsia="Arial" w:hAnsi="Arial" w:cs="Arial"/>
          <w:color w:val="000000"/>
          <w:sz w:val="20"/>
          <w:szCs w:val="20"/>
        </w:rPr>
        <w:t>School-based delivery of health interventions for school-age children can be significantly more cost effective than alternative delivery approaches</w:t>
      </w:r>
      <w:r w:rsidRPr="00421190">
        <w:rPr>
          <w:rFonts w:ascii="Arial" w:eastAsia="Arial" w:hAnsi="Arial" w:cs="Arial"/>
          <w:sz w:val="20"/>
          <w:szCs w:val="20"/>
        </w:rPr>
        <w:t>.</w:t>
      </w:r>
    </w:p>
    <w:p w14:paraId="2D084DC1" w14:textId="30764AC4" w:rsidR="00562573" w:rsidRPr="009C56F2" w:rsidRDefault="009C56F2" w:rsidP="009C56F2">
      <w:pPr>
        <w:numPr>
          <w:ilvl w:val="0"/>
          <w:numId w:val="12"/>
        </w:numPr>
        <w:spacing w:before="240"/>
        <w:rPr>
          <w:rFonts w:ascii="Arial" w:eastAsia="Arial" w:hAnsi="Arial" w:cs="Arial"/>
          <w:color w:val="000000"/>
          <w:sz w:val="20"/>
          <w:szCs w:val="20"/>
        </w:rPr>
      </w:pPr>
      <w:r w:rsidRPr="00421190">
        <w:rPr>
          <w:rFonts w:ascii="Arial" w:eastAsia="Arial" w:hAnsi="Arial" w:cs="Arial"/>
          <w:sz w:val="20"/>
          <w:szCs w:val="20"/>
        </w:rPr>
        <w:t>T</w:t>
      </w:r>
      <w:r w:rsidRPr="00421190">
        <w:rPr>
          <w:rFonts w:ascii="Arial" w:eastAsia="Arial" w:hAnsi="Arial" w:cs="Arial"/>
          <w:color w:val="000000"/>
          <w:sz w:val="20"/>
          <w:szCs w:val="20"/>
        </w:rPr>
        <w:t>oday’s school</w:t>
      </w:r>
      <w:r w:rsidRPr="00421190">
        <w:rPr>
          <w:rFonts w:ascii="Arial" w:eastAsia="Arial" w:hAnsi="Arial" w:cs="Arial"/>
          <w:sz w:val="20"/>
          <w:szCs w:val="20"/>
        </w:rPr>
        <w:t>-</w:t>
      </w:r>
      <w:r w:rsidRPr="00421190">
        <w:rPr>
          <w:rFonts w:ascii="Arial" w:eastAsia="Arial" w:hAnsi="Arial" w:cs="Arial"/>
          <w:color w:val="000000"/>
          <w:sz w:val="20"/>
          <w:szCs w:val="20"/>
        </w:rPr>
        <w:t>aged children are tomorrow’s nurses, epidemiologists, doctors, researchers, and public health experts. Without investment in education today, there will be a shortage of 15 million health workers in 2030.</w:t>
      </w:r>
    </w:p>
    <w:sectPr w:rsidR="00562573" w:rsidRPr="009C56F2" w:rsidSect="00DE0A94">
      <w:headerReference w:type="default" r:id="rId24"/>
      <w:footerReference w:type="default" r:id="rId25"/>
      <w:pgSz w:w="12240" w:h="15840"/>
      <w:pgMar w:top="21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B4C3" w14:textId="77777777" w:rsidR="00B07DB0" w:rsidRDefault="00B07DB0" w:rsidP="003F1804">
      <w:r>
        <w:separator/>
      </w:r>
    </w:p>
  </w:endnote>
  <w:endnote w:type="continuationSeparator" w:id="0">
    <w:p w14:paraId="28CB4EC8" w14:textId="77777777" w:rsidR="00B07DB0" w:rsidRDefault="00B07DB0" w:rsidP="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1AE4" w14:textId="5BBD4476" w:rsidR="00D006BC" w:rsidRPr="00285EEC" w:rsidRDefault="00285EEC" w:rsidP="00D006BC">
    <w:pPr>
      <w:rPr>
        <w:rFonts w:ascii="Arial" w:hAnsi="Arial" w:cs="Arial"/>
        <w:sz w:val="14"/>
        <w:szCs w:val="14"/>
      </w:rPr>
    </w:pPr>
    <w:r w:rsidRPr="00285EEC">
      <w:rPr>
        <w:rFonts w:ascii="Arial" w:hAnsi="Arial" w:cs="Arial"/>
        <w:color w:val="000000"/>
        <w:sz w:val="14"/>
        <w:szCs w:val="14"/>
      </w:rPr>
      <w:t xml:space="preserve">September 2020. </w:t>
    </w:r>
    <w:r w:rsidR="00D006BC" w:rsidRPr="00285EEC">
      <w:rPr>
        <w:rFonts w:ascii="Arial" w:hAnsi="Arial" w:cs="Arial"/>
        <w:color w:val="000000"/>
        <w:sz w:val="14"/>
        <w:szCs w:val="14"/>
      </w:rPr>
      <w:t>For all references and citations, visit</w:t>
    </w:r>
    <w:r w:rsidR="00D006BC" w:rsidRPr="00285EEC">
      <w:rPr>
        <w:rStyle w:val="apple-converted-space"/>
        <w:rFonts w:ascii="Arial" w:hAnsi="Arial" w:cs="Arial"/>
        <w:color w:val="000000"/>
        <w:sz w:val="14"/>
        <w:szCs w:val="14"/>
      </w:rPr>
      <w:t> </w:t>
    </w:r>
    <w:hyperlink r:id="rId1" w:history="1">
      <w:r w:rsidR="00D006BC" w:rsidRPr="00285EEC">
        <w:rPr>
          <w:rStyle w:val="Hyperlink"/>
          <w:rFonts w:ascii="Arial" w:hAnsi="Arial" w:cs="Arial"/>
          <w:sz w:val="14"/>
          <w:szCs w:val="14"/>
        </w:rPr>
        <w:t>key.theirworld.org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74DD" w14:textId="77777777" w:rsidR="00B07DB0" w:rsidRDefault="00B07DB0" w:rsidP="003F1804">
      <w:r>
        <w:separator/>
      </w:r>
    </w:p>
  </w:footnote>
  <w:footnote w:type="continuationSeparator" w:id="0">
    <w:p w14:paraId="001ED5B7" w14:textId="77777777" w:rsidR="00B07DB0" w:rsidRDefault="00B07DB0" w:rsidP="003F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C93" w14:textId="15289EAF" w:rsidR="003F1804" w:rsidRDefault="00285EEC">
    <w:pPr>
      <w:pStyle w:val="Header"/>
    </w:pPr>
    <w:r>
      <w:rPr>
        <w:noProof/>
      </w:rPr>
      <w:drawing>
        <wp:anchor distT="0" distB="0" distL="114300" distR="114300" simplePos="0" relativeHeight="251659264" behindDoc="0" locked="0" layoutInCell="1" allowOverlap="1" wp14:anchorId="52DEDB31" wp14:editId="58DFFF13">
          <wp:simplePos x="0" y="0"/>
          <wp:positionH relativeFrom="column">
            <wp:posOffset>3801110</wp:posOffset>
          </wp:positionH>
          <wp:positionV relativeFrom="page">
            <wp:posOffset>461645</wp:posOffset>
          </wp:positionV>
          <wp:extent cx="2229485" cy="32893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9485" cy="32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01D5BB" wp14:editId="525C6A5A">
          <wp:simplePos x="0" y="0"/>
          <wp:positionH relativeFrom="column">
            <wp:posOffset>0</wp:posOffset>
          </wp:positionH>
          <wp:positionV relativeFrom="page">
            <wp:posOffset>457200</wp:posOffset>
          </wp:positionV>
          <wp:extent cx="3018773" cy="569870"/>
          <wp:effectExtent l="0" t="0" r="444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8773" cy="56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C23"/>
    <w:multiLevelType w:val="hybridMultilevel"/>
    <w:tmpl w:val="1D2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64F4"/>
    <w:multiLevelType w:val="multilevel"/>
    <w:tmpl w:val="60DC3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84F2D"/>
    <w:multiLevelType w:val="multilevel"/>
    <w:tmpl w:val="6B425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2C1791"/>
    <w:multiLevelType w:val="multilevel"/>
    <w:tmpl w:val="7E226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730985"/>
    <w:multiLevelType w:val="multilevel"/>
    <w:tmpl w:val="C764E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265523"/>
    <w:multiLevelType w:val="multilevel"/>
    <w:tmpl w:val="F208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7F4FD3"/>
    <w:multiLevelType w:val="multilevel"/>
    <w:tmpl w:val="332A1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CC35829"/>
    <w:multiLevelType w:val="hybridMultilevel"/>
    <w:tmpl w:val="C32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0416A"/>
    <w:multiLevelType w:val="multilevel"/>
    <w:tmpl w:val="63BE0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A92EB1"/>
    <w:multiLevelType w:val="multilevel"/>
    <w:tmpl w:val="F1A6F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4136F2"/>
    <w:multiLevelType w:val="multilevel"/>
    <w:tmpl w:val="67349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7DC66E2"/>
    <w:multiLevelType w:val="multilevel"/>
    <w:tmpl w:val="73226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C7962E9"/>
    <w:multiLevelType w:val="multilevel"/>
    <w:tmpl w:val="7C261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71539E6"/>
    <w:multiLevelType w:val="multilevel"/>
    <w:tmpl w:val="E6F283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8"/>
  </w:num>
  <w:num w:numId="3">
    <w:abstractNumId w:val="12"/>
  </w:num>
  <w:num w:numId="4">
    <w:abstractNumId w:val="3"/>
  </w:num>
  <w:num w:numId="5">
    <w:abstractNumId w:val="7"/>
  </w:num>
  <w:num w:numId="6">
    <w:abstractNumId w:val="0"/>
  </w:num>
  <w:num w:numId="7">
    <w:abstractNumId w:val="4"/>
  </w:num>
  <w:num w:numId="8">
    <w:abstractNumId w:val="1"/>
  </w:num>
  <w:num w:numId="9">
    <w:abstractNumId w:val="9"/>
  </w:num>
  <w:num w:numId="10">
    <w:abstractNumId w:val="11"/>
  </w:num>
  <w:num w:numId="11">
    <w:abstractNumId w:val="2"/>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EF"/>
    <w:rsid w:val="000421DD"/>
    <w:rsid w:val="00255E40"/>
    <w:rsid w:val="00285EEC"/>
    <w:rsid w:val="002A6C14"/>
    <w:rsid w:val="003C4824"/>
    <w:rsid w:val="003F1804"/>
    <w:rsid w:val="0042053E"/>
    <w:rsid w:val="004953AD"/>
    <w:rsid w:val="004E4911"/>
    <w:rsid w:val="00500F3C"/>
    <w:rsid w:val="00562573"/>
    <w:rsid w:val="00610218"/>
    <w:rsid w:val="006C4544"/>
    <w:rsid w:val="007102ED"/>
    <w:rsid w:val="00827C22"/>
    <w:rsid w:val="008D06D6"/>
    <w:rsid w:val="009423EF"/>
    <w:rsid w:val="00997C75"/>
    <w:rsid w:val="009C56F2"/>
    <w:rsid w:val="00A829A6"/>
    <w:rsid w:val="00AB2B17"/>
    <w:rsid w:val="00B05756"/>
    <w:rsid w:val="00B07DB0"/>
    <w:rsid w:val="00B305A7"/>
    <w:rsid w:val="00C922CF"/>
    <w:rsid w:val="00CE1AEA"/>
    <w:rsid w:val="00D006BC"/>
    <w:rsid w:val="00DD5D13"/>
    <w:rsid w:val="00DE0A94"/>
    <w:rsid w:val="00E84671"/>
    <w:rsid w:val="00F72ADA"/>
    <w:rsid w:val="00FA7D3F"/>
    <w:rsid w:val="00FC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8F0E"/>
  <w15:docId w15:val="{9EA43054-C64E-AD4F-B3B2-C62F901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B6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292"/>
    <w:rPr>
      <w:rFonts w:ascii="Times New Roman" w:hAnsi="Times New Roman" w:cs="Times New Roman"/>
      <w:sz w:val="18"/>
      <w:szCs w:val="18"/>
    </w:rPr>
  </w:style>
  <w:style w:type="paragraph" w:styleId="NormalWeb">
    <w:name w:val="Normal (Web)"/>
    <w:basedOn w:val="Normal"/>
    <w:uiPriority w:val="99"/>
    <w:semiHidden/>
    <w:unhideWhenUsed/>
    <w:rsid w:val="00133F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3F7F"/>
    <w:rPr>
      <w:color w:val="0000FF"/>
      <w:u w:val="single"/>
    </w:rPr>
  </w:style>
  <w:style w:type="paragraph" w:styleId="ListParagraph">
    <w:name w:val="List Paragraph"/>
    <w:basedOn w:val="Normal"/>
    <w:uiPriority w:val="34"/>
    <w:qFormat/>
    <w:rsid w:val="00133F7F"/>
    <w:pPr>
      <w:ind w:left="720"/>
      <w:contextualSpacing/>
    </w:pPr>
  </w:style>
  <w:style w:type="character" w:styleId="UnresolvedMention">
    <w:name w:val="Unresolved Mention"/>
    <w:basedOn w:val="DefaultParagraphFont"/>
    <w:uiPriority w:val="99"/>
    <w:semiHidden/>
    <w:unhideWhenUsed/>
    <w:rsid w:val="00C613B4"/>
    <w:rPr>
      <w:color w:val="605E5C"/>
      <w:shd w:val="clear" w:color="auto" w:fill="E1DFDD"/>
    </w:rPr>
  </w:style>
  <w:style w:type="character" w:styleId="FollowedHyperlink">
    <w:name w:val="FollowedHyperlink"/>
    <w:basedOn w:val="DefaultParagraphFont"/>
    <w:uiPriority w:val="99"/>
    <w:semiHidden/>
    <w:unhideWhenUsed/>
    <w:rsid w:val="00833C4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804"/>
    <w:pPr>
      <w:tabs>
        <w:tab w:val="center" w:pos="4680"/>
        <w:tab w:val="right" w:pos="9360"/>
      </w:tabs>
    </w:pPr>
  </w:style>
  <w:style w:type="character" w:customStyle="1" w:styleId="HeaderChar">
    <w:name w:val="Header Char"/>
    <w:basedOn w:val="DefaultParagraphFont"/>
    <w:link w:val="Header"/>
    <w:uiPriority w:val="99"/>
    <w:rsid w:val="003F1804"/>
  </w:style>
  <w:style w:type="paragraph" w:styleId="Footer">
    <w:name w:val="footer"/>
    <w:basedOn w:val="Normal"/>
    <w:link w:val="FooterChar"/>
    <w:uiPriority w:val="99"/>
    <w:unhideWhenUsed/>
    <w:rsid w:val="003F1804"/>
    <w:pPr>
      <w:tabs>
        <w:tab w:val="center" w:pos="4680"/>
        <w:tab w:val="right" w:pos="9360"/>
      </w:tabs>
    </w:pPr>
  </w:style>
  <w:style w:type="character" w:customStyle="1" w:styleId="FooterChar">
    <w:name w:val="Footer Char"/>
    <w:basedOn w:val="DefaultParagraphFont"/>
    <w:link w:val="Footer"/>
    <w:uiPriority w:val="99"/>
    <w:rsid w:val="003F1804"/>
  </w:style>
  <w:style w:type="character" w:customStyle="1" w:styleId="apple-converted-space">
    <w:name w:val="apple-converted-space"/>
    <w:basedOn w:val="DefaultParagraphFont"/>
    <w:rsid w:val="00D0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fp.org/news/blogs/leadervoices/entry/learning_matters_how_education_affects.html" TargetMode="External"/><Relationship Id="rId13" Type="http://schemas.openxmlformats.org/officeDocument/2006/relationships/hyperlink" Target="https://report.educationcommission.org/downloads/" TargetMode="External"/><Relationship Id="rId18" Type="http://schemas.openxmlformats.org/officeDocument/2006/relationships/hyperlink" Target="https://www.malarianomore.org/support/what-is-malar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bmed.ncbi.nlm.nih.gov/26134875/" TargetMode="External"/><Relationship Id="rId7" Type="http://schemas.openxmlformats.org/officeDocument/2006/relationships/endnotes" Target="endnotes.xml"/><Relationship Id="rId12" Type="http://schemas.openxmlformats.org/officeDocument/2006/relationships/hyperlink" Target="https://human-resources-health.biomedcentral.com/articles/10.1186/s12960-017-0187-2" TargetMode="External"/><Relationship Id="rId17" Type="http://schemas.openxmlformats.org/officeDocument/2006/relationships/hyperlink" Target="https://report.educationcommission.org/wp-content/uploads/2016/11/Estimating-the-Economic-Returns-of-Education-from-a-Health-Perspectiv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esdoc.unesco.org/ark:/48223/pf0000225660" TargetMode="External"/><Relationship Id="rId20" Type="http://schemas.openxmlformats.org/officeDocument/2006/relationships/hyperlink" Target="https://www.thelancet.com/journals/langlo/article/PIIS2214-109X(15)00050-9/full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health.biomedcentral.com/articles/10.1186/s12960-017-0187-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nesdoc.unesco.org/ark:/48223/pf0000225660" TargetMode="External"/><Relationship Id="rId23" Type="http://schemas.openxmlformats.org/officeDocument/2006/relationships/hyperlink" Target="https://www.globalpartnership.org/content/optimizing-education-outcomes-high-return-investments-school-health-increased-participation-and-learning" TargetMode="External"/><Relationship Id="rId10" Type="http://schemas.openxmlformats.org/officeDocument/2006/relationships/hyperlink" Target="https://human-resources-health.biomedcentral.com/articles/10.1186/s12960-017-0187-2" TargetMode="External"/><Relationship Id="rId19" Type="http://schemas.openxmlformats.org/officeDocument/2006/relationships/hyperlink" Target="https://www.malala.org/brookings-report/the-worlds-best-investment-girls-education" TargetMode="External"/><Relationship Id="rId4" Type="http://schemas.openxmlformats.org/officeDocument/2006/relationships/settings" Target="settings.xml"/><Relationship Id="rId9" Type="http://schemas.openxmlformats.org/officeDocument/2006/relationships/hyperlink" Target="https://report.educationcommission.org/downloads/" TargetMode="External"/><Relationship Id="rId14" Type="http://schemas.openxmlformats.org/officeDocument/2006/relationships/hyperlink" Target="https://www.unicef.org/publications/index_78727.html" TargetMode="External"/><Relationship Id="rId22" Type="http://schemas.openxmlformats.org/officeDocument/2006/relationships/hyperlink" Target="https://report.educationcommission.org/wp-content/uploads/2016/11/Estimating-the-Economic-Returns-of-Education-from-a-Health-Perspective.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key.their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edSD/pLG72hd3fKJi4esmFDKg==">AMUW2mUzOcElyBLFRMi52Zi/fp5TWcN1w0vuJdd0fM2nIV0JLtmrAOILGHRYX01dokL1msPc9Ew9Nm+WBZZPmtAvdiyi64AcXquV+BvNdKog0/uO3+AZgvI=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van Fleet</dc:creator>
  <cp:lastModifiedBy>Nick Eagleton</cp:lastModifiedBy>
  <cp:revision>2</cp:revision>
  <dcterms:created xsi:type="dcterms:W3CDTF">2020-09-18T06:35:00Z</dcterms:created>
  <dcterms:modified xsi:type="dcterms:W3CDTF">2020-09-18T06:35:00Z</dcterms:modified>
</cp:coreProperties>
</file>