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B681694" w:rsidR="009423EF" w:rsidRPr="00B05756" w:rsidRDefault="00B05756">
      <w:pPr>
        <w:rPr>
          <w:rFonts w:ascii="Arial" w:eastAsia="Arial" w:hAnsi="Arial" w:cs="Arial"/>
          <w:b/>
          <w:color w:val="D60651"/>
          <w:sz w:val="44"/>
          <w:szCs w:val="44"/>
        </w:rPr>
      </w:pPr>
      <w:r w:rsidRPr="00B05756">
        <w:rPr>
          <w:rFonts w:ascii="Arial" w:eastAsia="Arial" w:hAnsi="Arial" w:cs="Arial"/>
          <w:b/>
          <w:color w:val="D60651"/>
          <w:sz w:val="44"/>
          <w:szCs w:val="44"/>
        </w:rPr>
        <w:t>Girls</w:t>
      </w:r>
      <w:r>
        <w:rPr>
          <w:rFonts w:ascii="Arial" w:eastAsia="Arial" w:hAnsi="Arial" w:cs="Arial"/>
          <w:b/>
          <w:color w:val="D60651"/>
          <w:sz w:val="44"/>
          <w:szCs w:val="44"/>
        </w:rPr>
        <w:t xml:space="preserve"> </w:t>
      </w:r>
      <w:r w:rsidR="00546075">
        <w:rPr>
          <w:rFonts w:ascii="Arial" w:eastAsia="Arial" w:hAnsi="Arial" w:cs="Arial"/>
          <w:b/>
          <w:color w:val="D60651"/>
          <w:sz w:val="44"/>
          <w:szCs w:val="44"/>
        </w:rPr>
        <w:t>E</w:t>
      </w:r>
      <w:r>
        <w:rPr>
          <w:rFonts w:ascii="Arial" w:eastAsia="Arial" w:hAnsi="Arial" w:cs="Arial"/>
          <w:b/>
          <w:color w:val="D60651"/>
          <w:sz w:val="44"/>
          <w:szCs w:val="44"/>
        </w:rPr>
        <w:t>ducation</w:t>
      </w:r>
    </w:p>
    <w:p w14:paraId="00000003" w14:textId="392CA98D" w:rsidR="009423EF" w:rsidRDefault="009423EF">
      <w:pPr>
        <w:rPr>
          <w:rFonts w:ascii="Arial" w:eastAsia="Arial" w:hAnsi="Arial" w:cs="Arial"/>
          <w:b/>
          <w:sz w:val="20"/>
          <w:szCs w:val="20"/>
        </w:rPr>
      </w:pPr>
    </w:p>
    <w:p w14:paraId="017153A1" w14:textId="77777777" w:rsidR="00DE0A94" w:rsidRPr="003F1804" w:rsidRDefault="00DE0A94">
      <w:pPr>
        <w:rPr>
          <w:rFonts w:ascii="Arial" w:eastAsia="Arial" w:hAnsi="Arial" w:cs="Arial"/>
          <w:b/>
          <w:sz w:val="20"/>
          <w:szCs w:val="20"/>
        </w:rPr>
      </w:pPr>
    </w:p>
    <w:p w14:paraId="6529D69D" w14:textId="70842F27" w:rsidR="00FA7D3F" w:rsidRPr="00B05756" w:rsidRDefault="00CE1AEA">
      <w:pPr>
        <w:rPr>
          <w:rFonts w:ascii="Arial" w:eastAsia="Arial" w:hAnsi="Arial" w:cs="Arial"/>
          <w:b/>
          <w:color w:val="D60651"/>
          <w:sz w:val="28"/>
          <w:szCs w:val="28"/>
        </w:rPr>
      </w:pPr>
      <w:r w:rsidRPr="00B05756">
        <w:rPr>
          <w:rFonts w:ascii="Arial" w:eastAsia="Arial" w:hAnsi="Arial" w:cs="Arial"/>
          <w:b/>
          <w:color w:val="D60651"/>
          <w:sz w:val="28"/>
          <w:szCs w:val="28"/>
        </w:rPr>
        <w:t>Message Framing</w:t>
      </w:r>
    </w:p>
    <w:p w14:paraId="47619161" w14:textId="77777777" w:rsidR="00DD5D13" w:rsidRPr="00DD5D13" w:rsidRDefault="00DD5D13" w:rsidP="00DD5D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DD5D13">
        <w:rPr>
          <w:rFonts w:ascii="Arial" w:eastAsia="Arial" w:hAnsi="Arial" w:cs="Arial"/>
          <w:b/>
          <w:color w:val="000000"/>
          <w:sz w:val="28"/>
          <w:szCs w:val="28"/>
        </w:rPr>
        <w:t xml:space="preserve">Girls’ education can break the cycle of poverty and create a healthier, wealthier and more educated family. </w:t>
      </w:r>
      <w:r w:rsidRPr="00DD5D13">
        <w:rPr>
          <w:rFonts w:ascii="Arial" w:eastAsia="Arial" w:hAnsi="Arial" w:cs="Arial"/>
          <w:color w:val="000000"/>
          <w:sz w:val="28"/>
          <w:szCs w:val="28"/>
        </w:rPr>
        <w:t xml:space="preserve">In many countries and communities, girls are often discriminated against and the most vulnerable face multiple barriers to education, ranging from child marriage and child </w:t>
      </w:r>
      <w:proofErr w:type="spellStart"/>
      <w:r w:rsidRPr="00DD5D13">
        <w:rPr>
          <w:rFonts w:ascii="Arial" w:eastAsia="Arial" w:hAnsi="Arial" w:cs="Arial"/>
          <w:color w:val="000000"/>
          <w:sz w:val="28"/>
          <w:szCs w:val="28"/>
        </w:rPr>
        <w:t>labour</w:t>
      </w:r>
      <w:proofErr w:type="spellEnd"/>
      <w:r w:rsidRPr="00DD5D13">
        <w:rPr>
          <w:rFonts w:ascii="Arial" w:eastAsia="Arial" w:hAnsi="Arial" w:cs="Arial"/>
          <w:color w:val="000000"/>
          <w:sz w:val="28"/>
          <w:szCs w:val="28"/>
        </w:rPr>
        <w:t xml:space="preserve"> to sexual exploitation and trafficking. Yet creative solutions to gender equality and girls’ education have demonstrated the impact that educating a girl can have on her community and country. </w:t>
      </w:r>
    </w:p>
    <w:p w14:paraId="187A7933" w14:textId="77777777" w:rsidR="0042053E" w:rsidRPr="003F1804" w:rsidRDefault="0042053E">
      <w:pPr>
        <w:rPr>
          <w:rFonts w:ascii="Arial" w:eastAsia="Arial" w:hAnsi="Arial" w:cs="Arial"/>
          <w:b/>
          <w:sz w:val="20"/>
          <w:szCs w:val="20"/>
        </w:rPr>
      </w:pPr>
    </w:p>
    <w:p w14:paraId="143C3240" w14:textId="5C1C6C22" w:rsidR="00B305A7" w:rsidRPr="00997C75" w:rsidRDefault="00CE1AEA">
      <w:pPr>
        <w:rPr>
          <w:rFonts w:ascii="Arial" w:eastAsia="Arial" w:hAnsi="Arial" w:cs="Arial"/>
          <w:b/>
          <w:color w:val="D60651"/>
        </w:rPr>
      </w:pPr>
      <w:r w:rsidRPr="00B05756">
        <w:rPr>
          <w:rFonts w:ascii="Arial" w:eastAsia="Arial" w:hAnsi="Arial" w:cs="Arial"/>
          <w:b/>
          <w:color w:val="D60651"/>
        </w:rPr>
        <w:t xml:space="preserve">Key </w:t>
      </w:r>
      <w:r w:rsidR="0042053E" w:rsidRPr="00B05756">
        <w:rPr>
          <w:rFonts w:ascii="Arial" w:eastAsia="Arial" w:hAnsi="Arial" w:cs="Arial"/>
          <w:b/>
          <w:color w:val="D60651"/>
        </w:rPr>
        <w:t>challenges</w:t>
      </w:r>
    </w:p>
    <w:p w14:paraId="2CB41205" w14:textId="3F52451C" w:rsidR="00DD5D13" w:rsidRPr="00DD5D13" w:rsidRDefault="00DD5D13" w:rsidP="00DD5D13">
      <w:pPr>
        <w:pStyle w:val="ListParagraph"/>
        <w:numPr>
          <w:ilvl w:val="0"/>
          <w:numId w:val="5"/>
        </w:numPr>
        <w:spacing w:before="240" w:after="240"/>
        <w:rPr>
          <w:rFonts w:ascii="Arial" w:eastAsia="Arial" w:hAnsi="Arial" w:cs="Arial"/>
          <w:b/>
          <w:color w:val="000000"/>
          <w:sz w:val="20"/>
          <w:szCs w:val="20"/>
        </w:rPr>
      </w:pP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>Millions of girls are out of school.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It is estimated that 132 million girls and young women are not in primary or secondary school (</w:t>
      </w:r>
      <w:hyperlink r:id="rId8">
        <w:r w:rsidRPr="00DD5D1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GEM</w:t>
        </w:r>
      </w:hyperlink>
      <w:r w:rsidRPr="00DD5D13">
        <w:rPr>
          <w:rFonts w:ascii="Arial" w:eastAsia="Arial" w:hAnsi="Arial" w:cs="Arial"/>
          <w:color w:val="000000"/>
          <w:sz w:val="20"/>
          <w:szCs w:val="20"/>
        </w:rPr>
        <w:t>, 2020).</w:t>
      </w: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14:paraId="132409A9" w14:textId="77777777" w:rsidR="00DD5D13" w:rsidRPr="00DD5D13" w:rsidRDefault="00DD5D13" w:rsidP="00DD5D13">
      <w:pPr>
        <w:pStyle w:val="ListParagraph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DD5D13">
        <w:rPr>
          <w:rFonts w:ascii="Arial" w:eastAsia="Arial" w:hAnsi="Arial" w:cs="Arial"/>
          <w:b/>
          <w:sz w:val="20"/>
          <w:szCs w:val="20"/>
        </w:rPr>
        <w:t>Failure to educate girls is costly.</w:t>
      </w:r>
      <w:r w:rsidRPr="00DD5D13">
        <w:rPr>
          <w:rFonts w:ascii="Arial" w:eastAsia="Arial" w:hAnsi="Arial" w:cs="Arial"/>
          <w:sz w:val="20"/>
          <w:szCs w:val="20"/>
        </w:rPr>
        <w:t xml:space="preserve"> Ongoing barriers to girls’ education are costing countries between US$15 trillion to US$30 trillion in lost lifetime productivity and earnings (</w:t>
      </w:r>
      <w:hyperlink r:id="rId9">
        <w:r w:rsidRPr="00DD5D1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World Bank</w:t>
        </w:r>
      </w:hyperlink>
      <w:r w:rsidRPr="00DD5D13">
        <w:rPr>
          <w:rFonts w:ascii="Arial" w:eastAsia="Arial" w:hAnsi="Arial" w:cs="Arial"/>
          <w:sz w:val="20"/>
          <w:szCs w:val="20"/>
        </w:rPr>
        <w:t>, 2018).</w:t>
      </w:r>
    </w:p>
    <w:p w14:paraId="4EC26AD7" w14:textId="77777777" w:rsidR="0042053E" w:rsidRPr="003F1804" w:rsidRDefault="0042053E">
      <w:pPr>
        <w:rPr>
          <w:rFonts w:ascii="Arial" w:eastAsia="Arial" w:hAnsi="Arial" w:cs="Arial"/>
          <w:sz w:val="20"/>
          <w:szCs w:val="20"/>
        </w:rPr>
      </w:pPr>
    </w:p>
    <w:p w14:paraId="0000001C" w14:textId="42835B28" w:rsidR="009423EF" w:rsidRPr="00B05756" w:rsidRDefault="0042053E" w:rsidP="00B305A7">
      <w:pPr>
        <w:rPr>
          <w:rFonts w:ascii="Arial" w:eastAsia="Arial" w:hAnsi="Arial" w:cs="Arial"/>
          <w:b/>
          <w:color w:val="D60651"/>
        </w:rPr>
      </w:pPr>
      <w:r w:rsidRPr="00B05756">
        <w:rPr>
          <w:rFonts w:ascii="Arial" w:eastAsia="Arial" w:hAnsi="Arial" w:cs="Arial"/>
          <w:b/>
          <w:color w:val="D60651"/>
        </w:rPr>
        <w:t>Making the case</w:t>
      </w:r>
    </w:p>
    <w:p w14:paraId="70B138E5" w14:textId="10D04A89" w:rsidR="00DD5D13" w:rsidRPr="00DD5D13" w:rsidRDefault="00DD5D13" w:rsidP="00DD5D13">
      <w:pPr>
        <w:pStyle w:val="ListParagraph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 xml:space="preserve">Education </w:t>
      </w:r>
      <w:r w:rsidRPr="00DD5D13">
        <w:rPr>
          <w:rFonts w:ascii="Arial" w:eastAsia="Arial" w:hAnsi="Arial" w:cs="Arial"/>
          <w:b/>
          <w:sz w:val="20"/>
          <w:szCs w:val="20"/>
        </w:rPr>
        <w:t>prevents</w:t>
      </w: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 xml:space="preserve"> child marriage.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Universal secondary education for girls can virtually eliminate child marriage. </w:t>
      </w:r>
      <w:r w:rsidRPr="00DD5D1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n 18 of the 20 countries with the highest rates of child marriage, girls with a secondary education are </w:t>
      </w:r>
      <w:r w:rsidRPr="00DD5D13">
        <w:rPr>
          <w:rFonts w:ascii="Arial" w:eastAsia="Arial" w:hAnsi="Arial" w:cs="Arial"/>
          <w:sz w:val="20"/>
          <w:szCs w:val="20"/>
        </w:rPr>
        <w:t>six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times less likely to be married as a child compared to girls with no education (</w:t>
      </w:r>
      <w:hyperlink r:id="rId10">
        <w:r w:rsidRPr="00DD5D1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World Bank</w:t>
        </w:r>
      </w:hyperlink>
      <w:r w:rsidRPr="00DD5D13">
        <w:rPr>
          <w:rFonts w:ascii="Arial" w:eastAsia="Arial" w:hAnsi="Arial" w:cs="Arial"/>
          <w:color w:val="000000"/>
          <w:sz w:val="20"/>
          <w:szCs w:val="20"/>
        </w:rPr>
        <w:t>, 2018).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59E0929D" w14:textId="21C81647" w:rsidR="00DD5D13" w:rsidRPr="00DD5D13" w:rsidRDefault="00DD5D13" w:rsidP="00DD5D13">
      <w:pPr>
        <w:pStyle w:val="ListParagraph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DD5D13">
        <w:rPr>
          <w:rFonts w:ascii="Arial" w:eastAsia="Arial" w:hAnsi="Arial" w:cs="Arial"/>
          <w:b/>
          <w:sz w:val="20"/>
          <w:szCs w:val="20"/>
        </w:rPr>
        <w:t>Better</w:t>
      </w: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 xml:space="preserve"> educated mothers have healthier children and families.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For example, if all mothers completed secondary school, the likelihood that their children </w:t>
      </w:r>
      <w:r w:rsidRPr="00DD5D13">
        <w:rPr>
          <w:rFonts w:ascii="Arial" w:eastAsia="Arial" w:hAnsi="Arial" w:cs="Arial"/>
          <w:sz w:val="20"/>
          <w:szCs w:val="20"/>
        </w:rPr>
        <w:t>will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D5D13">
        <w:rPr>
          <w:rFonts w:ascii="Arial" w:eastAsia="Arial" w:hAnsi="Arial" w:cs="Arial"/>
          <w:sz w:val="20"/>
          <w:szCs w:val="20"/>
        </w:rPr>
        <w:t>contract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malaria would be 36% lower (</w:t>
      </w:r>
      <w:hyperlink r:id="rId11">
        <w:r w:rsidRPr="00DD5D13">
          <w:rPr>
            <w:rFonts w:ascii="Arial" w:eastAsia="Arial" w:hAnsi="Arial" w:cs="Arial"/>
            <w:color w:val="000000"/>
            <w:sz w:val="20"/>
            <w:szCs w:val="20"/>
            <w:u w:val="single"/>
          </w:rPr>
          <w:t>Brookings</w:t>
        </w:r>
      </w:hyperlink>
      <w:r w:rsidRPr="00DD5D13">
        <w:rPr>
          <w:rFonts w:ascii="Arial" w:eastAsia="Arial" w:hAnsi="Arial" w:cs="Arial"/>
          <w:color w:val="000000"/>
          <w:sz w:val="20"/>
          <w:szCs w:val="20"/>
        </w:rPr>
        <w:t>, 201</w:t>
      </w:r>
      <w:r w:rsidRPr="00DD5D13">
        <w:rPr>
          <w:rFonts w:ascii="Arial" w:eastAsia="Arial" w:hAnsi="Arial" w:cs="Arial"/>
          <w:sz w:val="20"/>
          <w:szCs w:val="20"/>
        </w:rPr>
        <w:t>6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>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176580C2" w14:textId="77777777" w:rsidR="00DD5D13" w:rsidRPr="00DD5D13" w:rsidRDefault="00DD5D13" w:rsidP="00DD5D13">
      <w:pPr>
        <w:pStyle w:val="ListParagraph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>One additional year of school can increase a girl’s earnings by up to a fifth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– bringing benefits for the girls themselves, their future families and their communities (</w:t>
      </w:r>
      <w:hyperlink r:id="rId12">
        <w:r w:rsidRPr="00DD5D1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EFA GMR</w:t>
        </w:r>
      </w:hyperlink>
      <w:r w:rsidRPr="00DD5D13">
        <w:rPr>
          <w:rFonts w:ascii="Arial" w:eastAsia="Arial" w:hAnsi="Arial" w:cs="Arial"/>
          <w:color w:val="000000"/>
          <w:sz w:val="20"/>
          <w:szCs w:val="20"/>
        </w:rPr>
        <w:t>, 2013).</w:t>
      </w:r>
    </w:p>
    <w:p w14:paraId="2C093F49" w14:textId="140B7797" w:rsidR="00DD5D13" w:rsidRPr="00DD5D13" w:rsidRDefault="00DD5D13" w:rsidP="00DD5D13">
      <w:pPr>
        <w:pStyle w:val="ListParagraph"/>
        <w:numPr>
          <w:ilvl w:val="0"/>
          <w:numId w:val="6"/>
        </w:numPr>
        <w:spacing w:before="240" w:after="240"/>
        <w:rPr>
          <w:rFonts w:ascii="Arial" w:eastAsia="Arial" w:hAnsi="Arial" w:cs="Arial"/>
          <w:sz w:val="20"/>
          <w:szCs w:val="20"/>
        </w:rPr>
      </w:pP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 xml:space="preserve">Educating girls leads to economic growth. 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Even a </w:t>
      </w:r>
      <w:r w:rsidRPr="00DD5D13">
        <w:rPr>
          <w:rFonts w:ascii="Arial" w:eastAsia="Arial" w:hAnsi="Arial" w:cs="Arial"/>
          <w:sz w:val="20"/>
          <w:szCs w:val="20"/>
        </w:rPr>
        <w:t>1%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increase in the number of women completing secondary education can increase a country’s economic growth by 0.3% </w:t>
      </w:r>
      <w:r w:rsidRPr="00DD5D13">
        <w:rPr>
          <w:rFonts w:ascii="Arial" w:eastAsia="Arial" w:hAnsi="Arial" w:cs="Arial"/>
          <w:sz w:val="20"/>
          <w:szCs w:val="20"/>
        </w:rPr>
        <w:t>(</w:t>
      </w:r>
      <w:hyperlink r:id="rId13">
        <w:r w:rsidRPr="00DD5D13">
          <w:rPr>
            <w:rFonts w:ascii="Arial" w:eastAsia="Arial" w:hAnsi="Arial" w:cs="Arial"/>
            <w:sz w:val="20"/>
            <w:szCs w:val="20"/>
            <w:u w:val="single"/>
          </w:rPr>
          <w:t>Brookings</w:t>
        </w:r>
      </w:hyperlink>
      <w:r w:rsidRPr="00DD5D13">
        <w:rPr>
          <w:rFonts w:ascii="Arial" w:eastAsia="Arial" w:hAnsi="Arial" w:cs="Arial"/>
          <w:sz w:val="20"/>
          <w:szCs w:val="20"/>
        </w:rPr>
        <w:t>, 2016).</w:t>
      </w:r>
      <w:r>
        <w:rPr>
          <w:rFonts w:ascii="Arial" w:eastAsia="Arial" w:hAnsi="Arial" w:cs="Arial"/>
          <w:sz w:val="20"/>
          <w:szCs w:val="20"/>
        </w:rPr>
        <w:br/>
      </w:r>
    </w:p>
    <w:p w14:paraId="79CD9ED2" w14:textId="16F78E83" w:rsidR="00DD5D13" w:rsidRPr="00DD5D13" w:rsidRDefault="00DD5D13" w:rsidP="00DD5D13">
      <w:pPr>
        <w:pStyle w:val="ListParagraph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 xml:space="preserve">Educating girls </w:t>
      </w:r>
      <w:r w:rsidRPr="00DD5D13">
        <w:rPr>
          <w:rFonts w:ascii="Arial" w:eastAsia="Arial" w:hAnsi="Arial" w:cs="Arial"/>
          <w:b/>
          <w:sz w:val="20"/>
          <w:szCs w:val="20"/>
        </w:rPr>
        <w:t>raise</w:t>
      </w: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 xml:space="preserve">s earnings. 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>Each additional year of schooling helps a woman increase her wages by about 12</w:t>
      </w:r>
      <w:r w:rsidRPr="00DD5D13">
        <w:rPr>
          <w:rFonts w:ascii="Arial" w:eastAsia="Arial" w:hAnsi="Arial" w:cs="Arial"/>
          <w:sz w:val="20"/>
          <w:szCs w:val="20"/>
        </w:rPr>
        <w:t>% (</w:t>
      </w:r>
      <w:hyperlink r:id="rId14">
        <w:r w:rsidRPr="00DD5D13">
          <w:rPr>
            <w:rFonts w:ascii="Arial" w:eastAsia="Arial" w:hAnsi="Arial" w:cs="Arial"/>
            <w:sz w:val="20"/>
            <w:szCs w:val="20"/>
            <w:u w:val="single"/>
          </w:rPr>
          <w:t>Brookings</w:t>
        </w:r>
      </w:hyperlink>
      <w:r w:rsidRPr="00DD5D13">
        <w:rPr>
          <w:rFonts w:ascii="Arial" w:eastAsia="Arial" w:hAnsi="Arial" w:cs="Arial"/>
          <w:sz w:val="20"/>
          <w:szCs w:val="20"/>
        </w:rPr>
        <w:t>, 2016).</w:t>
      </w:r>
      <w:r>
        <w:rPr>
          <w:rFonts w:ascii="Arial" w:eastAsia="Arial" w:hAnsi="Arial" w:cs="Arial"/>
          <w:sz w:val="20"/>
          <w:szCs w:val="20"/>
        </w:rPr>
        <w:br/>
      </w:r>
    </w:p>
    <w:p w14:paraId="6052CD2E" w14:textId="77777777" w:rsidR="00DD5D13" w:rsidRPr="00DD5D13" w:rsidRDefault="00DD5D13" w:rsidP="00DD5D13">
      <w:pPr>
        <w:pStyle w:val="ListParagraph"/>
        <w:numPr>
          <w:ilvl w:val="0"/>
          <w:numId w:val="6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DD5D13">
        <w:rPr>
          <w:rFonts w:ascii="Arial" w:eastAsia="Arial" w:hAnsi="Arial" w:cs="Arial"/>
          <w:b/>
          <w:color w:val="000000"/>
          <w:sz w:val="20"/>
          <w:szCs w:val="20"/>
        </w:rPr>
        <w:t>Increasing girls’ education decreases violence.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If girls and boys ha</w:t>
      </w:r>
      <w:r w:rsidRPr="00DD5D13">
        <w:rPr>
          <w:rFonts w:ascii="Arial" w:eastAsia="Arial" w:hAnsi="Arial" w:cs="Arial"/>
          <w:sz w:val="20"/>
          <w:szCs w:val="20"/>
        </w:rPr>
        <w:t>d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equal access to education, the chance of violence and conflict would decrease by 37% (</w:t>
      </w:r>
      <w:hyperlink r:id="rId15">
        <w:r w:rsidRPr="00DD5D1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Education Cannot Wait</w:t>
        </w:r>
      </w:hyperlink>
      <w:r w:rsidRPr="00DD5D13">
        <w:rPr>
          <w:rFonts w:ascii="Arial" w:eastAsia="Arial" w:hAnsi="Arial" w:cs="Arial"/>
          <w:color w:val="000000"/>
          <w:sz w:val="20"/>
          <w:szCs w:val="20"/>
        </w:rPr>
        <w:t>, 2019).</w:t>
      </w:r>
    </w:p>
    <w:p w14:paraId="63965751" w14:textId="3222E2F9" w:rsidR="00DD5D13" w:rsidRPr="00DD5D13" w:rsidRDefault="00DD5D13" w:rsidP="00DD5D13">
      <w:pPr>
        <w:pStyle w:val="ListParagraph"/>
        <w:numPr>
          <w:ilvl w:val="0"/>
          <w:numId w:val="6"/>
        </w:numPr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DD5D13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Educated mothers have healthier families. 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When a mother can read, her children are 50% more likely to live past the age of </w:t>
      </w:r>
      <w:r w:rsidRPr="00DD5D13">
        <w:rPr>
          <w:rFonts w:ascii="Arial" w:eastAsia="Arial" w:hAnsi="Arial" w:cs="Arial"/>
          <w:sz w:val="20"/>
          <w:szCs w:val="20"/>
        </w:rPr>
        <w:t>five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, twice as likely to attend school, and 50% more likely to be </w:t>
      </w:r>
      <w:proofErr w:type="spellStart"/>
      <w:r w:rsidRPr="00DD5D13">
        <w:rPr>
          <w:rFonts w:ascii="Arial" w:eastAsia="Arial" w:hAnsi="Arial" w:cs="Arial"/>
          <w:color w:val="000000"/>
          <w:sz w:val="20"/>
          <w:szCs w:val="20"/>
        </w:rPr>
        <w:t>immuni</w:t>
      </w:r>
      <w:r w:rsidRPr="00DD5D13">
        <w:rPr>
          <w:rFonts w:ascii="Arial" w:eastAsia="Arial" w:hAnsi="Arial" w:cs="Arial"/>
          <w:sz w:val="20"/>
          <w:szCs w:val="20"/>
        </w:rPr>
        <w:t>s</w:t>
      </w:r>
      <w:r w:rsidRPr="00DD5D13">
        <w:rPr>
          <w:rFonts w:ascii="Arial" w:eastAsia="Arial" w:hAnsi="Arial" w:cs="Arial"/>
          <w:color w:val="000000"/>
          <w:sz w:val="20"/>
          <w:szCs w:val="20"/>
        </w:rPr>
        <w:t>ed</w:t>
      </w:r>
      <w:proofErr w:type="spellEnd"/>
      <w:r w:rsidRPr="00DD5D13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hyperlink r:id="rId16">
        <w:r w:rsidRPr="00DD5D1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Education Cannot Wait</w:t>
        </w:r>
      </w:hyperlink>
      <w:r w:rsidRPr="00DD5D13">
        <w:rPr>
          <w:rFonts w:ascii="Arial" w:eastAsia="Arial" w:hAnsi="Arial" w:cs="Arial"/>
          <w:color w:val="000000"/>
          <w:sz w:val="20"/>
          <w:szCs w:val="20"/>
        </w:rPr>
        <w:t>, 2019).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19A0B710" w14:textId="77777777" w:rsidR="00DD5D13" w:rsidRPr="00DD5D13" w:rsidRDefault="00DD5D13" w:rsidP="00DD5D13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r w:rsidRPr="00DD5D13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Educating girls saves lives. </w:t>
      </w:r>
      <w:r w:rsidRPr="00DD5D13">
        <w:rPr>
          <w:rFonts w:ascii="Arial" w:eastAsia="Arial" w:hAnsi="Arial" w:cs="Arial"/>
          <w:color w:val="222222"/>
          <w:sz w:val="20"/>
          <w:szCs w:val="20"/>
          <w:highlight w:val="white"/>
        </w:rPr>
        <w:t>If all women in India and Nigeria had completed secondary education, the under-five mortality rate would have been 61% lower in India and 42% lower in Nigeria, saving 1.35 million children's lives (</w:t>
      </w:r>
      <w:hyperlink r:id="rId17">
        <w:r w:rsidRPr="00DD5D13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EFA GMR</w:t>
        </w:r>
      </w:hyperlink>
      <w:r w:rsidRPr="00DD5D13">
        <w:rPr>
          <w:rFonts w:ascii="Arial" w:eastAsia="Arial" w:hAnsi="Arial" w:cs="Arial"/>
          <w:color w:val="222222"/>
          <w:sz w:val="20"/>
          <w:szCs w:val="20"/>
          <w:highlight w:val="white"/>
        </w:rPr>
        <w:t>, 2013).</w:t>
      </w:r>
    </w:p>
    <w:p w14:paraId="459BA539" w14:textId="77777777" w:rsidR="00DD5D13" w:rsidRPr="00991F7D" w:rsidRDefault="00DD5D13" w:rsidP="00DD5D13">
      <w:pPr>
        <w:spacing w:line="276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7F1E4F53" w14:textId="77777777" w:rsidR="00DD5D13" w:rsidRPr="00DD5D13" w:rsidRDefault="00DD5D13" w:rsidP="00DD5D13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r w:rsidRPr="00DD5D13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Educating girls means they can earn more and have more secure working conditions. </w:t>
      </w:r>
      <w:r w:rsidRPr="00DD5D13">
        <w:rPr>
          <w:rFonts w:ascii="Arial" w:eastAsia="Arial" w:hAnsi="Arial" w:cs="Arial"/>
          <w:color w:val="222222"/>
          <w:sz w:val="20"/>
          <w:szCs w:val="20"/>
          <w:highlight w:val="white"/>
        </w:rPr>
        <w:t>Women with good literacy skills in Pakistan earn 95% more than women with weak literacy skills  (</w:t>
      </w:r>
      <w:hyperlink r:id="rId18">
        <w:r w:rsidRPr="00DD5D13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EFA GMR</w:t>
        </w:r>
      </w:hyperlink>
      <w:r w:rsidRPr="00DD5D13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2013). </w:t>
      </w:r>
    </w:p>
    <w:p w14:paraId="6035BA16" w14:textId="496D2E7D" w:rsidR="0042053E" w:rsidRDefault="0042053E" w:rsidP="00285EEC">
      <w:pPr>
        <w:rPr>
          <w:rFonts w:ascii="Arial" w:eastAsia="Arial" w:hAnsi="Arial" w:cs="Arial"/>
          <w:color w:val="2A2A2A"/>
          <w:sz w:val="20"/>
          <w:szCs w:val="20"/>
        </w:rPr>
      </w:pPr>
    </w:p>
    <w:p w14:paraId="7C9D5EF4" w14:textId="77777777" w:rsidR="00997C75" w:rsidRDefault="00997C75" w:rsidP="00285EEC">
      <w:pPr>
        <w:rPr>
          <w:rFonts w:ascii="Arial" w:eastAsia="Arial" w:hAnsi="Arial" w:cs="Arial"/>
          <w:color w:val="2A2A2A"/>
          <w:sz w:val="20"/>
          <w:szCs w:val="20"/>
        </w:rPr>
      </w:pPr>
    </w:p>
    <w:p w14:paraId="0C3BAFB0" w14:textId="77777777" w:rsidR="0042053E" w:rsidRPr="00DD5D13" w:rsidRDefault="0042053E" w:rsidP="0042053E">
      <w:pPr>
        <w:rPr>
          <w:rFonts w:ascii="Arial" w:eastAsia="Arial" w:hAnsi="Arial" w:cs="Arial"/>
          <w:b/>
          <w:color w:val="D60651"/>
        </w:rPr>
      </w:pPr>
      <w:r w:rsidRPr="00DD5D13">
        <w:rPr>
          <w:rFonts w:ascii="Arial" w:eastAsia="Arial" w:hAnsi="Arial" w:cs="Arial"/>
          <w:b/>
          <w:color w:val="D60651"/>
        </w:rPr>
        <w:t>Key Talking Points</w:t>
      </w:r>
    </w:p>
    <w:p w14:paraId="68CFAF7A" w14:textId="77777777" w:rsidR="0042053E" w:rsidRDefault="0042053E" w:rsidP="0042053E">
      <w:pPr>
        <w:rPr>
          <w:rFonts w:ascii="Arial" w:eastAsia="Arial" w:hAnsi="Arial" w:cs="Arial"/>
          <w:sz w:val="20"/>
          <w:szCs w:val="20"/>
        </w:rPr>
      </w:pPr>
    </w:p>
    <w:p w14:paraId="5702425D" w14:textId="677C1552" w:rsidR="00DD5D13" w:rsidRPr="00546075" w:rsidRDefault="00DD5D13" w:rsidP="00546075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 w:rsidRPr="00546075">
        <w:rPr>
          <w:rFonts w:ascii="Arial" w:eastAsia="Arial" w:hAnsi="Arial" w:cs="Arial"/>
          <w:color w:val="000000"/>
          <w:sz w:val="20"/>
          <w:szCs w:val="20"/>
        </w:rPr>
        <w:t>It is estimated that 132 million girls and young women are not in primary or secondary school.</w:t>
      </w:r>
      <w:r w:rsidR="00546075">
        <w:rPr>
          <w:rFonts w:ascii="Arial" w:eastAsia="Arial" w:hAnsi="Arial" w:cs="Arial"/>
          <w:color w:val="000000"/>
          <w:sz w:val="20"/>
          <w:szCs w:val="20"/>
        </w:rPr>
        <w:br/>
      </w:r>
    </w:p>
    <w:p w14:paraId="282717EF" w14:textId="38C19F7E" w:rsidR="00DD5D13" w:rsidRPr="00546075" w:rsidRDefault="00DD5D13" w:rsidP="00546075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 w:rsidRPr="00546075">
        <w:rPr>
          <w:rFonts w:ascii="Arial" w:eastAsia="Arial" w:hAnsi="Arial" w:cs="Arial"/>
          <w:color w:val="000000"/>
          <w:sz w:val="20"/>
          <w:szCs w:val="20"/>
        </w:rPr>
        <w:t xml:space="preserve">Educating girls saves countries money. </w:t>
      </w:r>
      <w:r w:rsidR="00546075">
        <w:rPr>
          <w:rFonts w:ascii="Arial" w:eastAsia="Arial" w:hAnsi="Arial" w:cs="Arial"/>
          <w:color w:val="000000"/>
          <w:sz w:val="20"/>
          <w:szCs w:val="20"/>
        </w:rPr>
        <w:br/>
      </w:r>
    </w:p>
    <w:p w14:paraId="40885EC2" w14:textId="77107997" w:rsidR="00DD5D13" w:rsidRPr="00546075" w:rsidRDefault="00DD5D13" w:rsidP="005460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 w:rsidRPr="00546075">
        <w:rPr>
          <w:rFonts w:ascii="Arial" w:eastAsia="Arial" w:hAnsi="Arial" w:cs="Arial"/>
          <w:sz w:val="20"/>
          <w:szCs w:val="20"/>
        </w:rPr>
        <w:t>Each additional year that a girl is in school increases earnings, promotes economic growth, leads to healthier families, and lowers the rate of child</w:t>
      </w:r>
      <w:r w:rsidRPr="00546075">
        <w:rPr>
          <w:rFonts w:ascii="Arial" w:eastAsia="Arial" w:hAnsi="Arial" w:cs="Arial"/>
          <w:color w:val="000000"/>
          <w:sz w:val="20"/>
          <w:szCs w:val="20"/>
        </w:rPr>
        <w:t xml:space="preserve"> marriage. </w:t>
      </w:r>
      <w:r w:rsidR="00546075">
        <w:rPr>
          <w:rFonts w:ascii="Arial" w:eastAsia="Arial" w:hAnsi="Arial" w:cs="Arial"/>
          <w:color w:val="000000"/>
          <w:sz w:val="20"/>
          <w:szCs w:val="20"/>
        </w:rPr>
        <w:br/>
      </w:r>
    </w:p>
    <w:p w14:paraId="2C608446" w14:textId="4E15875F" w:rsidR="00DD5D13" w:rsidRPr="00546075" w:rsidRDefault="00DD5D13" w:rsidP="00546075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Arial" w:eastAsia="Arial" w:hAnsi="Arial" w:cs="Arial"/>
          <w:sz w:val="20"/>
          <w:szCs w:val="20"/>
        </w:rPr>
      </w:pPr>
      <w:r w:rsidRPr="00546075">
        <w:rPr>
          <w:rFonts w:ascii="Arial" w:eastAsia="Arial" w:hAnsi="Arial" w:cs="Arial"/>
          <w:sz w:val="20"/>
          <w:szCs w:val="20"/>
        </w:rPr>
        <w:t xml:space="preserve">Progress is being made. </w:t>
      </w:r>
      <w:r w:rsidRPr="00546075">
        <w:rPr>
          <w:rFonts w:ascii="Arial" w:eastAsia="Arial" w:hAnsi="Arial" w:cs="Arial"/>
          <w:b/>
          <w:sz w:val="20"/>
          <w:szCs w:val="20"/>
        </w:rPr>
        <w:t xml:space="preserve"> </w:t>
      </w:r>
      <w:r w:rsidRPr="00546075">
        <w:rPr>
          <w:rFonts w:ascii="Arial" w:eastAsia="Arial" w:hAnsi="Arial" w:cs="Arial"/>
          <w:sz w:val="20"/>
          <w:szCs w:val="20"/>
        </w:rPr>
        <w:t xml:space="preserve">The number of out-of-school girls worldwide dropped by 79 million between 1998 and 2018, and gender disparities have narrowed considerably. </w:t>
      </w:r>
      <w:r w:rsidR="00546075">
        <w:rPr>
          <w:rFonts w:ascii="Arial" w:eastAsia="Arial" w:hAnsi="Arial" w:cs="Arial"/>
          <w:sz w:val="20"/>
          <w:szCs w:val="20"/>
        </w:rPr>
        <w:br/>
      </w:r>
    </w:p>
    <w:p w14:paraId="0DBF2FD9" w14:textId="77777777" w:rsidR="00DD5D13" w:rsidRPr="00546075" w:rsidRDefault="00DD5D13" w:rsidP="00546075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 w:rsidRPr="00546075">
        <w:rPr>
          <w:rFonts w:ascii="Arial" w:eastAsia="Arial" w:hAnsi="Arial" w:cs="Arial"/>
          <w:sz w:val="20"/>
          <w:szCs w:val="20"/>
        </w:rPr>
        <w:t xml:space="preserve">But there is still a long way to go. </w:t>
      </w:r>
      <w:r w:rsidRPr="00546075">
        <w:rPr>
          <w:rFonts w:ascii="Arial" w:eastAsia="Arial" w:hAnsi="Arial" w:cs="Arial"/>
          <w:color w:val="000000"/>
          <w:sz w:val="20"/>
          <w:szCs w:val="20"/>
        </w:rPr>
        <w:t xml:space="preserve">The failure to educate girls costs countries between US$15 trillion </w:t>
      </w:r>
      <w:r w:rsidRPr="00546075">
        <w:rPr>
          <w:rFonts w:ascii="Arial" w:eastAsia="Arial" w:hAnsi="Arial" w:cs="Arial"/>
          <w:sz w:val="20"/>
          <w:szCs w:val="20"/>
        </w:rPr>
        <w:t>and</w:t>
      </w:r>
      <w:r w:rsidRPr="00546075">
        <w:rPr>
          <w:rFonts w:ascii="Arial" w:eastAsia="Arial" w:hAnsi="Arial" w:cs="Arial"/>
          <w:color w:val="000000"/>
          <w:sz w:val="20"/>
          <w:szCs w:val="20"/>
        </w:rPr>
        <w:t xml:space="preserve"> US$30 trillion in lost lifetime productivity and earnings.</w:t>
      </w:r>
    </w:p>
    <w:p w14:paraId="52F4966D" w14:textId="78298800" w:rsidR="0042053E" w:rsidRPr="0042053E" w:rsidRDefault="0042053E" w:rsidP="00DD5D13">
      <w:pPr>
        <w:rPr>
          <w:rFonts w:ascii="Arial" w:eastAsia="Arial" w:hAnsi="Arial" w:cs="Arial"/>
          <w:sz w:val="20"/>
          <w:szCs w:val="20"/>
        </w:rPr>
      </w:pPr>
    </w:p>
    <w:sectPr w:rsidR="0042053E" w:rsidRPr="0042053E" w:rsidSect="00DE0A94">
      <w:headerReference w:type="default" r:id="rId19"/>
      <w:footerReference w:type="default" r:id="rId20"/>
      <w:pgSz w:w="12240" w:h="15840"/>
      <w:pgMar w:top="21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C757" w14:textId="77777777" w:rsidR="00114C28" w:rsidRDefault="00114C28" w:rsidP="003F1804">
      <w:r>
        <w:separator/>
      </w:r>
    </w:p>
  </w:endnote>
  <w:endnote w:type="continuationSeparator" w:id="0">
    <w:p w14:paraId="3220F744" w14:textId="77777777" w:rsidR="00114C28" w:rsidRDefault="00114C28" w:rsidP="003F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1AE4" w14:textId="5BBD4476" w:rsidR="00D006BC" w:rsidRPr="00285EEC" w:rsidRDefault="00285EEC" w:rsidP="00D006BC">
    <w:pPr>
      <w:rPr>
        <w:rFonts w:ascii="Arial" w:hAnsi="Arial" w:cs="Arial"/>
        <w:sz w:val="14"/>
        <w:szCs w:val="14"/>
      </w:rPr>
    </w:pPr>
    <w:r w:rsidRPr="00285EEC">
      <w:rPr>
        <w:rFonts w:ascii="Arial" w:hAnsi="Arial" w:cs="Arial"/>
        <w:color w:val="000000"/>
        <w:sz w:val="14"/>
        <w:szCs w:val="14"/>
      </w:rPr>
      <w:t xml:space="preserve">September 2020. </w:t>
    </w:r>
    <w:r w:rsidR="00D006BC" w:rsidRPr="00285EEC">
      <w:rPr>
        <w:rFonts w:ascii="Arial" w:hAnsi="Arial" w:cs="Arial"/>
        <w:color w:val="000000"/>
        <w:sz w:val="14"/>
        <w:szCs w:val="14"/>
      </w:rPr>
      <w:t>For all references and citations, visit</w:t>
    </w:r>
    <w:r w:rsidR="00D006BC" w:rsidRPr="00285EEC">
      <w:rPr>
        <w:rStyle w:val="apple-converted-space"/>
        <w:rFonts w:ascii="Arial" w:hAnsi="Arial" w:cs="Arial"/>
        <w:color w:val="000000"/>
        <w:sz w:val="14"/>
        <w:szCs w:val="14"/>
      </w:rPr>
      <w:t> </w:t>
    </w:r>
    <w:hyperlink r:id="rId1" w:history="1">
      <w:r w:rsidR="00D006BC" w:rsidRPr="00285EEC">
        <w:rPr>
          <w:rStyle w:val="Hyperlink"/>
          <w:rFonts w:ascii="Arial" w:hAnsi="Arial" w:cs="Arial"/>
          <w:sz w:val="14"/>
          <w:szCs w:val="14"/>
        </w:rPr>
        <w:t>key.theirworld.org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78DC" w14:textId="77777777" w:rsidR="00114C28" w:rsidRDefault="00114C28" w:rsidP="003F1804">
      <w:r>
        <w:separator/>
      </w:r>
    </w:p>
  </w:footnote>
  <w:footnote w:type="continuationSeparator" w:id="0">
    <w:p w14:paraId="18BADA9F" w14:textId="77777777" w:rsidR="00114C28" w:rsidRDefault="00114C28" w:rsidP="003F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5C93" w14:textId="15289EAF" w:rsidR="003F1804" w:rsidRDefault="00285E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EDB31" wp14:editId="58DFFF13">
          <wp:simplePos x="0" y="0"/>
          <wp:positionH relativeFrom="column">
            <wp:posOffset>3801110</wp:posOffset>
          </wp:positionH>
          <wp:positionV relativeFrom="page">
            <wp:posOffset>461645</wp:posOffset>
          </wp:positionV>
          <wp:extent cx="2229485" cy="328930"/>
          <wp:effectExtent l="0" t="0" r="0" b="127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01D5BB" wp14:editId="525C6A5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018773" cy="569870"/>
          <wp:effectExtent l="0" t="0" r="4445" b="190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773" cy="56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C23"/>
    <w:multiLevelType w:val="hybridMultilevel"/>
    <w:tmpl w:val="1D2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791"/>
    <w:multiLevelType w:val="multilevel"/>
    <w:tmpl w:val="7E22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265523"/>
    <w:multiLevelType w:val="multilevel"/>
    <w:tmpl w:val="F208D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C35829"/>
    <w:multiLevelType w:val="hybridMultilevel"/>
    <w:tmpl w:val="C32A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0416A"/>
    <w:multiLevelType w:val="multilevel"/>
    <w:tmpl w:val="63BE0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C7962E9"/>
    <w:multiLevelType w:val="multilevel"/>
    <w:tmpl w:val="7C261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3362077"/>
    <w:multiLevelType w:val="hybridMultilevel"/>
    <w:tmpl w:val="3DD2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EF"/>
    <w:rsid w:val="000421DD"/>
    <w:rsid w:val="00114C28"/>
    <w:rsid w:val="00183585"/>
    <w:rsid w:val="00285EEC"/>
    <w:rsid w:val="002A6C14"/>
    <w:rsid w:val="003C4824"/>
    <w:rsid w:val="003F1804"/>
    <w:rsid w:val="0042053E"/>
    <w:rsid w:val="004953AD"/>
    <w:rsid w:val="00546075"/>
    <w:rsid w:val="007102ED"/>
    <w:rsid w:val="00827C22"/>
    <w:rsid w:val="008D06D6"/>
    <w:rsid w:val="009423EF"/>
    <w:rsid w:val="00997C75"/>
    <w:rsid w:val="009C124B"/>
    <w:rsid w:val="00B05756"/>
    <w:rsid w:val="00B305A7"/>
    <w:rsid w:val="00C922CF"/>
    <w:rsid w:val="00CE1AEA"/>
    <w:rsid w:val="00D006BC"/>
    <w:rsid w:val="00DD5D13"/>
    <w:rsid w:val="00DE0A94"/>
    <w:rsid w:val="00E84671"/>
    <w:rsid w:val="00F72ADA"/>
    <w:rsid w:val="00FA7D3F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8F0E"/>
  <w15:docId w15:val="{9EA43054-C64E-AD4F-B3B2-C62F901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3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4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04"/>
  </w:style>
  <w:style w:type="paragraph" w:styleId="Footer">
    <w:name w:val="footer"/>
    <w:basedOn w:val="Normal"/>
    <w:link w:val="Foot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04"/>
  </w:style>
  <w:style w:type="character" w:customStyle="1" w:styleId="apple-converted-space">
    <w:name w:val="apple-converted-space"/>
    <w:basedOn w:val="DefaultParagraphFont"/>
    <w:rsid w:val="00D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gem-report/report/2020/inclusion" TargetMode="External"/><Relationship Id="rId13" Type="http://schemas.openxmlformats.org/officeDocument/2006/relationships/hyperlink" Target="https://www.brookings.edu/wp-content/uploads/2016/07/What-Works-in-Girls-Educationlowres.pdf" TargetMode="External"/><Relationship Id="rId18" Type="http://schemas.openxmlformats.org/officeDocument/2006/relationships/hyperlink" Target="https://unesdoc.unesco.org/ark:/48223/pf00002231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nesdoc.unesco.org/ark:/48223/pf0000223115" TargetMode="External"/><Relationship Id="rId17" Type="http://schemas.openxmlformats.org/officeDocument/2006/relationships/hyperlink" Target="https://unesdoc.unesco.org/ark:/48223/pf0000223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tioncannotwait.org/download/ecw-case-for-investment/?wpdmdl=2888&amp;ind=RUNXX0Nhc2VGb3JJbnZlc3RtZW50X3dlYi5wZG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okings.edu/wp-content/uploads/2016/07/What-Works-in-Girls-Educationlowr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cannotwait.org/download/ecw-case-for-investment/?wpdmdl=2888&amp;ind=RUNXX0Nhc2VGb3JJbnZlc3RtZW50X3dlYi5wZGY" TargetMode="External"/><Relationship Id="rId10" Type="http://schemas.openxmlformats.org/officeDocument/2006/relationships/hyperlink" Target="https://www.worldbank.org/en/news/factsheet/2018/07/11/missed-opportunities-the-high-cost-of-not-educating-girl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rldbank.org/en/news/factsheet/2018/07/11/missed-opportunities-the-high-cost-of-not-educating-girls" TargetMode="External"/><Relationship Id="rId14" Type="http://schemas.openxmlformats.org/officeDocument/2006/relationships/hyperlink" Target="https://www.brookings.edu/wp-content/uploads/2016/07/What-Works-in-Girls-Educationlowres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y.theirworl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9edSD/pLG72hd3fKJi4esmFDKg==">AMUW2mUzOcElyBLFRMi52Zi/fp5TWcN1w0vuJdd0fM2nIV0JLtmrAOILGHRYX01dokL1msPc9Ew9Nm+WBZZPmtAvdiyi64AcXquV+BvNdKog0/uO3+AZgvI=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Fleet</dc:creator>
  <cp:lastModifiedBy>Nick Eagleton</cp:lastModifiedBy>
  <cp:revision>3</cp:revision>
  <dcterms:created xsi:type="dcterms:W3CDTF">2020-09-18T06:47:00Z</dcterms:created>
  <dcterms:modified xsi:type="dcterms:W3CDTF">2020-09-18T06:48:00Z</dcterms:modified>
</cp:coreProperties>
</file>